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23B39" w14:textId="48FF46BE" w:rsidR="008B55CF" w:rsidRDefault="00D677AE" w:rsidP="00DC3473">
      <w:pPr>
        <w:jc w:val="center"/>
        <w:rPr>
          <w:b/>
          <w:bCs/>
        </w:rPr>
      </w:pPr>
      <w:r w:rsidRPr="00DC3473">
        <w:rPr>
          <w:b/>
          <w:bCs/>
        </w:rPr>
        <w:t>Hospital Surge Indicator Worksheet</w:t>
      </w:r>
    </w:p>
    <w:p w14:paraId="2F4132EF" w14:textId="718CD518" w:rsidR="00BB4DFC" w:rsidRPr="00EB735D" w:rsidRDefault="000066FB" w:rsidP="000066FB">
      <w:pPr>
        <w:rPr>
          <w:sz w:val="21"/>
          <w:szCs w:val="21"/>
        </w:rPr>
      </w:pPr>
      <w:r w:rsidRPr="000066FB">
        <w:rPr>
          <w:b/>
          <w:bCs/>
          <w:i/>
          <w:iCs/>
          <w:sz w:val="21"/>
          <w:szCs w:val="21"/>
        </w:rPr>
        <w:t xml:space="preserve">Step 1: </w:t>
      </w:r>
      <w:r w:rsidR="004418B4">
        <w:rPr>
          <w:sz w:val="21"/>
          <w:szCs w:val="21"/>
        </w:rPr>
        <w:t>Using</w:t>
      </w:r>
      <w:r w:rsidR="00D677AE" w:rsidRPr="000066FB">
        <w:rPr>
          <w:sz w:val="21"/>
          <w:szCs w:val="21"/>
        </w:rPr>
        <w:t xml:space="preserve"> available </w:t>
      </w:r>
      <w:r w:rsidR="00DC3473" w:rsidRPr="000066FB">
        <w:rPr>
          <w:sz w:val="21"/>
          <w:szCs w:val="21"/>
        </w:rPr>
        <w:t xml:space="preserve">facility </w:t>
      </w:r>
      <w:r w:rsidR="00D677AE" w:rsidRPr="000066FB">
        <w:rPr>
          <w:sz w:val="21"/>
          <w:szCs w:val="21"/>
        </w:rPr>
        <w:t>data, write the value for each surge component in the white “</w:t>
      </w:r>
      <w:r w:rsidR="004371E7">
        <w:rPr>
          <w:sz w:val="21"/>
          <w:szCs w:val="21"/>
        </w:rPr>
        <w:t xml:space="preserve">AM </w:t>
      </w:r>
      <w:r w:rsidR="00D677AE" w:rsidRPr="000066FB">
        <w:rPr>
          <w:sz w:val="21"/>
          <w:szCs w:val="21"/>
        </w:rPr>
        <w:t>Value”</w:t>
      </w:r>
      <w:r w:rsidR="004371E7">
        <w:rPr>
          <w:sz w:val="21"/>
          <w:szCs w:val="21"/>
        </w:rPr>
        <w:t xml:space="preserve"> </w:t>
      </w:r>
      <w:r w:rsidR="00471C80" w:rsidRPr="000066FB">
        <w:rPr>
          <w:sz w:val="21"/>
          <w:szCs w:val="21"/>
        </w:rPr>
        <w:t xml:space="preserve">column </w:t>
      </w:r>
      <w:r w:rsidR="004371E7">
        <w:rPr>
          <w:sz w:val="21"/>
          <w:szCs w:val="21"/>
        </w:rPr>
        <w:t>for the 10</w:t>
      </w:r>
      <w:r w:rsidR="00471C80">
        <w:rPr>
          <w:sz w:val="21"/>
          <w:szCs w:val="21"/>
        </w:rPr>
        <w:t xml:space="preserve">:00 </w:t>
      </w:r>
      <w:r w:rsidR="004371E7">
        <w:rPr>
          <w:sz w:val="21"/>
          <w:szCs w:val="21"/>
        </w:rPr>
        <w:t>a</w:t>
      </w:r>
      <w:r w:rsidR="00471C80">
        <w:rPr>
          <w:sz w:val="21"/>
          <w:szCs w:val="21"/>
        </w:rPr>
        <w:t>.</w:t>
      </w:r>
      <w:r w:rsidR="004371E7">
        <w:rPr>
          <w:sz w:val="21"/>
          <w:szCs w:val="21"/>
        </w:rPr>
        <w:t>m</w:t>
      </w:r>
      <w:r w:rsidR="00471C80">
        <w:rPr>
          <w:sz w:val="21"/>
          <w:szCs w:val="21"/>
        </w:rPr>
        <w:t>.</w:t>
      </w:r>
      <w:r w:rsidR="004371E7">
        <w:rPr>
          <w:sz w:val="21"/>
          <w:szCs w:val="21"/>
        </w:rPr>
        <w:t xml:space="preserve"> data collection</w:t>
      </w:r>
      <w:r w:rsidR="00D677AE" w:rsidRPr="000066FB">
        <w:rPr>
          <w:sz w:val="21"/>
          <w:szCs w:val="21"/>
        </w:rPr>
        <w:t>. Then</w:t>
      </w:r>
      <w:r w:rsidR="00471C80">
        <w:rPr>
          <w:sz w:val="21"/>
          <w:szCs w:val="21"/>
        </w:rPr>
        <w:t>,</w:t>
      </w:r>
      <w:r w:rsidR="00D677AE" w:rsidRPr="000066FB">
        <w:rPr>
          <w:sz w:val="21"/>
          <w:szCs w:val="21"/>
        </w:rPr>
        <w:t xml:space="preserve"> circle which </w:t>
      </w:r>
      <w:r w:rsidR="004418B4">
        <w:rPr>
          <w:sz w:val="21"/>
          <w:szCs w:val="21"/>
        </w:rPr>
        <w:t xml:space="preserve">percentage </w:t>
      </w:r>
      <w:r w:rsidR="00D677AE" w:rsidRPr="000066FB">
        <w:rPr>
          <w:sz w:val="21"/>
          <w:szCs w:val="21"/>
        </w:rPr>
        <w:t>range to the right the component falls within.</w:t>
      </w:r>
      <w:r w:rsidR="000A1ECF" w:rsidRPr="000066FB">
        <w:rPr>
          <w:sz w:val="21"/>
          <w:szCs w:val="21"/>
        </w:rPr>
        <w:t xml:space="preserve"> </w:t>
      </w:r>
      <w:r w:rsidR="000A1ECF" w:rsidRPr="00564A46">
        <w:rPr>
          <w:color w:val="000000" w:themeColor="text1"/>
          <w:sz w:val="21"/>
          <w:szCs w:val="21"/>
        </w:rPr>
        <w:t xml:space="preserve">The </w:t>
      </w:r>
      <w:r w:rsidR="000472F3">
        <w:rPr>
          <w:color w:val="000000" w:themeColor="text1"/>
          <w:sz w:val="21"/>
          <w:szCs w:val="21"/>
        </w:rPr>
        <w:t xml:space="preserve">below </w:t>
      </w:r>
      <w:r w:rsidR="000A1ECF" w:rsidRPr="00564A46">
        <w:rPr>
          <w:color w:val="000000" w:themeColor="text1"/>
          <w:sz w:val="21"/>
          <w:szCs w:val="21"/>
        </w:rPr>
        <w:t xml:space="preserve">grid </w:t>
      </w:r>
      <w:r w:rsidR="000472F3">
        <w:rPr>
          <w:color w:val="000000" w:themeColor="text1"/>
          <w:sz w:val="21"/>
          <w:szCs w:val="21"/>
        </w:rPr>
        <w:t>uses</w:t>
      </w:r>
      <w:r w:rsidR="000A1ECF" w:rsidRPr="00564A46">
        <w:rPr>
          <w:color w:val="000000" w:themeColor="text1"/>
          <w:sz w:val="21"/>
          <w:szCs w:val="21"/>
        </w:rPr>
        <w:t xml:space="preserve"> percent ranges.</w:t>
      </w:r>
      <w:r w:rsidR="004371E7" w:rsidRPr="00564A46">
        <w:rPr>
          <w:color w:val="000000" w:themeColor="text1"/>
          <w:sz w:val="21"/>
          <w:szCs w:val="21"/>
        </w:rPr>
        <w:t xml:space="preserve"> </w:t>
      </w:r>
      <w:r w:rsidR="00471C80">
        <w:rPr>
          <w:color w:val="000000" w:themeColor="text1"/>
          <w:sz w:val="21"/>
          <w:szCs w:val="21"/>
        </w:rPr>
        <w:t>A</w:t>
      </w:r>
      <w:r w:rsidR="004371E7" w:rsidRPr="00564A46">
        <w:rPr>
          <w:color w:val="000000" w:themeColor="text1"/>
          <w:sz w:val="21"/>
          <w:szCs w:val="21"/>
        </w:rPr>
        <w:t xml:space="preserve"> table based on number ranges</w:t>
      </w:r>
      <w:r w:rsidR="00471C80">
        <w:rPr>
          <w:color w:val="000000" w:themeColor="text1"/>
          <w:sz w:val="21"/>
          <w:szCs w:val="21"/>
        </w:rPr>
        <w:t xml:space="preserve"> also is</w:t>
      </w:r>
      <w:r w:rsidR="004418B4">
        <w:rPr>
          <w:color w:val="000000" w:themeColor="text1"/>
          <w:sz w:val="21"/>
          <w:szCs w:val="21"/>
        </w:rPr>
        <w:t xml:space="preserve"> </w:t>
      </w:r>
      <w:r w:rsidR="004371E7" w:rsidRPr="00564A46">
        <w:rPr>
          <w:color w:val="000000" w:themeColor="text1"/>
          <w:sz w:val="21"/>
          <w:szCs w:val="21"/>
        </w:rPr>
        <w:t>below</w:t>
      </w:r>
      <w:r w:rsidR="00471C80">
        <w:rPr>
          <w:color w:val="000000" w:themeColor="text1"/>
          <w:sz w:val="21"/>
          <w:szCs w:val="21"/>
        </w:rPr>
        <w:t>. H</w:t>
      </w:r>
      <w:r w:rsidR="004371E7" w:rsidRPr="00564A46">
        <w:rPr>
          <w:color w:val="000000" w:themeColor="text1"/>
          <w:sz w:val="21"/>
          <w:szCs w:val="21"/>
        </w:rPr>
        <w:t>ospitals can use th</w:t>
      </w:r>
      <w:r w:rsidR="00057074" w:rsidRPr="00564A46">
        <w:rPr>
          <w:color w:val="000000" w:themeColor="text1"/>
          <w:sz w:val="21"/>
          <w:szCs w:val="21"/>
        </w:rPr>
        <w:t>e number table</w:t>
      </w:r>
      <w:r w:rsidR="004371E7" w:rsidRPr="00564A46">
        <w:rPr>
          <w:color w:val="000000" w:themeColor="text1"/>
          <w:sz w:val="21"/>
          <w:szCs w:val="21"/>
        </w:rPr>
        <w:t xml:space="preserve"> by calculating the number range using the percent ranges provided for their particular space and planning assumptions. Repeat the same process for the 4</w:t>
      </w:r>
      <w:r w:rsidR="00471C80">
        <w:rPr>
          <w:color w:val="000000" w:themeColor="text1"/>
          <w:sz w:val="21"/>
          <w:szCs w:val="21"/>
        </w:rPr>
        <w:t xml:space="preserve">:00 </w:t>
      </w:r>
      <w:r w:rsidR="004371E7" w:rsidRPr="00564A46">
        <w:rPr>
          <w:color w:val="000000" w:themeColor="text1"/>
          <w:sz w:val="21"/>
          <w:szCs w:val="21"/>
        </w:rPr>
        <w:t>p</w:t>
      </w:r>
      <w:r w:rsidR="00471C80">
        <w:rPr>
          <w:color w:val="000000" w:themeColor="text1"/>
          <w:sz w:val="21"/>
          <w:szCs w:val="21"/>
        </w:rPr>
        <w:t>.</w:t>
      </w:r>
      <w:r w:rsidR="004371E7" w:rsidRPr="00564A46">
        <w:rPr>
          <w:color w:val="000000" w:themeColor="text1"/>
          <w:sz w:val="21"/>
          <w:szCs w:val="21"/>
        </w:rPr>
        <w:t>m</w:t>
      </w:r>
      <w:r w:rsidR="00471C80">
        <w:rPr>
          <w:color w:val="000000" w:themeColor="text1"/>
          <w:sz w:val="21"/>
          <w:szCs w:val="21"/>
        </w:rPr>
        <w:t>.</w:t>
      </w:r>
      <w:r w:rsidR="004371E7" w:rsidRPr="00564A46">
        <w:rPr>
          <w:color w:val="000000" w:themeColor="text1"/>
          <w:sz w:val="21"/>
          <w:szCs w:val="21"/>
        </w:rPr>
        <w:t xml:space="preserve"> data collection </w:t>
      </w:r>
      <w:r w:rsidR="000472F3">
        <w:rPr>
          <w:color w:val="000000" w:themeColor="text1"/>
          <w:sz w:val="21"/>
          <w:szCs w:val="21"/>
        </w:rPr>
        <w:t>in</w:t>
      </w:r>
      <w:r w:rsidR="000472F3" w:rsidRPr="00564A46">
        <w:rPr>
          <w:color w:val="000000" w:themeColor="text1"/>
          <w:sz w:val="21"/>
          <w:szCs w:val="21"/>
        </w:rPr>
        <w:t xml:space="preserve"> </w:t>
      </w:r>
      <w:r w:rsidR="004371E7" w:rsidRPr="00564A46">
        <w:rPr>
          <w:color w:val="000000" w:themeColor="text1"/>
          <w:sz w:val="21"/>
          <w:szCs w:val="21"/>
        </w:rPr>
        <w:t xml:space="preserve">the </w:t>
      </w:r>
      <w:r w:rsidR="001D5B79" w:rsidRPr="00564A46">
        <w:rPr>
          <w:color w:val="000000" w:themeColor="text1"/>
          <w:sz w:val="21"/>
          <w:szCs w:val="21"/>
        </w:rPr>
        <w:t>“</w:t>
      </w:r>
      <w:r w:rsidR="004371E7" w:rsidRPr="00564A46">
        <w:rPr>
          <w:color w:val="000000" w:themeColor="text1"/>
          <w:sz w:val="21"/>
          <w:szCs w:val="21"/>
        </w:rPr>
        <w:t>PM Value</w:t>
      </w:r>
      <w:r w:rsidR="001D5B79" w:rsidRPr="00564A46">
        <w:rPr>
          <w:color w:val="000000" w:themeColor="text1"/>
          <w:sz w:val="21"/>
          <w:szCs w:val="21"/>
        </w:rPr>
        <w:t>”</w:t>
      </w:r>
      <w:r w:rsidR="004371E7" w:rsidRPr="00564A46">
        <w:rPr>
          <w:color w:val="000000" w:themeColor="text1"/>
          <w:sz w:val="21"/>
          <w:szCs w:val="21"/>
        </w:rPr>
        <w:t xml:space="preserve"> column.</w:t>
      </w:r>
      <w:r w:rsidR="00BB4DFC">
        <w:rPr>
          <w:color w:val="000000" w:themeColor="text1"/>
          <w:sz w:val="21"/>
          <w:szCs w:val="21"/>
        </w:rPr>
        <w:tab/>
      </w:r>
      <w:r w:rsidR="00BB4DFC">
        <w:rPr>
          <w:color w:val="000000" w:themeColor="text1"/>
          <w:sz w:val="21"/>
          <w:szCs w:val="21"/>
        </w:rPr>
        <w:tab/>
        <w:t xml:space="preserve">    </w:t>
      </w:r>
    </w:p>
    <w:tbl>
      <w:tblPr>
        <w:tblStyle w:val="TableGrid"/>
        <w:tblW w:w="14678" w:type="dxa"/>
        <w:tblLook w:val="04A0" w:firstRow="1" w:lastRow="0" w:firstColumn="1" w:lastColumn="0" w:noHBand="0" w:noVBand="1"/>
      </w:tblPr>
      <w:tblGrid>
        <w:gridCol w:w="5035"/>
        <w:gridCol w:w="900"/>
        <w:gridCol w:w="900"/>
        <w:gridCol w:w="2641"/>
        <w:gridCol w:w="2019"/>
        <w:gridCol w:w="1600"/>
        <w:gridCol w:w="1583"/>
      </w:tblGrid>
      <w:tr w:rsidR="004371E7" w:rsidRPr="004A099A" w14:paraId="2503A451" w14:textId="77777777" w:rsidTr="004371E7">
        <w:tc>
          <w:tcPr>
            <w:tcW w:w="5035" w:type="dxa"/>
            <w:shd w:val="pct10" w:color="auto" w:fill="E5C9FF"/>
            <w:vAlign w:val="center"/>
          </w:tcPr>
          <w:p w14:paraId="6E571A4C" w14:textId="571BA2C0" w:rsidR="004371E7" w:rsidRDefault="004371E7" w:rsidP="004371E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PERCENT-BASED TABLE</w:t>
            </w:r>
          </w:p>
          <w:p w14:paraId="5B05AE17" w14:textId="3C218E26" w:rsidR="004371E7" w:rsidRPr="004A099A" w:rsidRDefault="004371E7" w:rsidP="004371E7">
            <w:pPr>
              <w:jc w:val="center"/>
              <w:rPr>
                <w:b/>
                <w:bCs/>
                <w:sz w:val="21"/>
                <w:szCs w:val="21"/>
              </w:rPr>
            </w:pPr>
            <w:r w:rsidRPr="004A099A">
              <w:rPr>
                <w:b/>
                <w:bCs/>
                <w:sz w:val="21"/>
                <w:szCs w:val="21"/>
              </w:rPr>
              <w:t>Surge Component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shd w:val="pct10" w:color="auto" w:fill="E5C9FF"/>
          </w:tcPr>
          <w:p w14:paraId="50E5486C" w14:textId="5F4D3281" w:rsidR="004371E7" w:rsidRDefault="004371E7" w:rsidP="00D677A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AM Value</w:t>
            </w:r>
          </w:p>
        </w:tc>
        <w:tc>
          <w:tcPr>
            <w:tcW w:w="900" w:type="dxa"/>
            <w:shd w:val="pct10" w:color="auto" w:fill="E5C9FF"/>
          </w:tcPr>
          <w:p w14:paraId="24B1F6D1" w14:textId="77777777" w:rsidR="004371E7" w:rsidRDefault="004371E7" w:rsidP="00D677A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PM</w:t>
            </w:r>
          </w:p>
          <w:p w14:paraId="51D63DA3" w14:textId="5E600523" w:rsidR="004371E7" w:rsidRPr="00D677AE" w:rsidRDefault="004371E7" w:rsidP="00D677A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Value</w:t>
            </w:r>
          </w:p>
        </w:tc>
        <w:tc>
          <w:tcPr>
            <w:tcW w:w="2641" w:type="dxa"/>
            <w:shd w:val="clear" w:color="auto" w:fill="C5E0B3" w:themeFill="accent6" w:themeFillTint="66"/>
            <w:vAlign w:val="center"/>
          </w:tcPr>
          <w:p w14:paraId="03F4977A" w14:textId="00A8411A" w:rsidR="004371E7" w:rsidRPr="004A099A" w:rsidRDefault="004371E7" w:rsidP="00D939CE">
            <w:pPr>
              <w:jc w:val="center"/>
              <w:rPr>
                <w:b/>
                <w:bCs/>
                <w:sz w:val="21"/>
                <w:szCs w:val="21"/>
              </w:rPr>
            </w:pPr>
            <w:r w:rsidRPr="004A099A">
              <w:rPr>
                <w:b/>
                <w:bCs/>
                <w:sz w:val="21"/>
                <w:szCs w:val="21"/>
              </w:rPr>
              <w:t>Green (normal) Range</w:t>
            </w:r>
          </w:p>
        </w:tc>
        <w:tc>
          <w:tcPr>
            <w:tcW w:w="2019" w:type="dxa"/>
            <w:shd w:val="clear" w:color="auto" w:fill="FFE599" w:themeFill="accent4" w:themeFillTint="66"/>
            <w:vAlign w:val="center"/>
          </w:tcPr>
          <w:p w14:paraId="5963E51B" w14:textId="77777777" w:rsidR="004371E7" w:rsidRPr="004A099A" w:rsidRDefault="004371E7" w:rsidP="00D939CE">
            <w:pPr>
              <w:jc w:val="center"/>
              <w:rPr>
                <w:b/>
                <w:bCs/>
                <w:sz w:val="21"/>
                <w:szCs w:val="21"/>
              </w:rPr>
            </w:pPr>
            <w:r w:rsidRPr="004A099A">
              <w:rPr>
                <w:b/>
                <w:bCs/>
                <w:sz w:val="21"/>
                <w:szCs w:val="21"/>
              </w:rPr>
              <w:t>Yellow (elevated) Range</w:t>
            </w:r>
          </w:p>
        </w:tc>
        <w:tc>
          <w:tcPr>
            <w:tcW w:w="1600" w:type="dxa"/>
            <w:shd w:val="clear" w:color="auto" w:fill="F7CAAC" w:themeFill="accent2" w:themeFillTint="66"/>
            <w:vAlign w:val="center"/>
          </w:tcPr>
          <w:p w14:paraId="68592914" w14:textId="77777777" w:rsidR="004371E7" w:rsidRPr="004A099A" w:rsidRDefault="004371E7" w:rsidP="00D939CE">
            <w:pPr>
              <w:jc w:val="center"/>
              <w:rPr>
                <w:b/>
                <w:bCs/>
                <w:sz w:val="21"/>
                <w:szCs w:val="21"/>
              </w:rPr>
            </w:pPr>
            <w:r w:rsidRPr="004A099A">
              <w:rPr>
                <w:b/>
                <w:bCs/>
                <w:sz w:val="21"/>
                <w:szCs w:val="21"/>
              </w:rPr>
              <w:t>Orange (significant) Range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FAEAA"/>
            <w:vAlign w:val="center"/>
          </w:tcPr>
          <w:p w14:paraId="3F89D02A" w14:textId="77777777" w:rsidR="004371E7" w:rsidRPr="004A099A" w:rsidRDefault="004371E7" w:rsidP="00D939CE">
            <w:pPr>
              <w:jc w:val="center"/>
              <w:rPr>
                <w:b/>
                <w:bCs/>
                <w:sz w:val="21"/>
                <w:szCs w:val="21"/>
              </w:rPr>
            </w:pPr>
            <w:r w:rsidRPr="004A099A">
              <w:rPr>
                <w:b/>
                <w:bCs/>
                <w:sz w:val="21"/>
                <w:szCs w:val="21"/>
              </w:rPr>
              <w:t>Red (critical) Range</w:t>
            </w:r>
          </w:p>
        </w:tc>
      </w:tr>
      <w:tr w:rsidR="00624D2C" w:rsidRPr="004A099A" w14:paraId="69A2ACF1" w14:textId="77777777" w:rsidTr="004371E7"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2BE662EF" w14:textId="77777777" w:rsidR="00624D2C" w:rsidRPr="004371E7" w:rsidRDefault="00624D2C" w:rsidP="00624D2C">
            <w:pPr>
              <w:rPr>
                <w:b/>
                <w:bCs/>
                <w:sz w:val="19"/>
                <w:szCs w:val="19"/>
              </w:rPr>
            </w:pPr>
            <w:r w:rsidRPr="004371E7">
              <w:rPr>
                <w:b/>
                <w:bCs/>
                <w:sz w:val="19"/>
                <w:szCs w:val="19"/>
              </w:rPr>
              <w:t>1a. ED Volume (Percent)</w:t>
            </w:r>
          </w:p>
          <w:p w14:paraId="3F7B8AFF" w14:textId="406E2ABD" w:rsidR="00624D2C" w:rsidRPr="004371E7" w:rsidRDefault="00624D2C" w:rsidP="00624D2C">
            <w:pPr>
              <w:rPr>
                <w:i/>
                <w:iCs/>
                <w:sz w:val="19"/>
                <w:szCs w:val="19"/>
              </w:rPr>
            </w:pPr>
            <w:r w:rsidRPr="004371E7">
              <w:rPr>
                <w:i/>
                <w:iCs/>
                <w:sz w:val="19"/>
                <w:szCs w:val="19"/>
              </w:rPr>
              <w:t>(# of occupied spaces/total # of ED spaces)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9B5C16" w14:textId="77777777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</w:p>
          <w:p w14:paraId="47198C53" w14:textId="47E0D6A4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_%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B4B617" w14:textId="07183799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</w:p>
          <w:p w14:paraId="723CC55F" w14:textId="19AE5C64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__%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14:paraId="01901FAC" w14:textId="7C425634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90%</w:t>
            </w:r>
          </w:p>
        </w:tc>
        <w:tc>
          <w:tcPr>
            <w:tcW w:w="2019" w:type="dxa"/>
            <w:shd w:val="clear" w:color="auto" w:fill="FFF2CC" w:themeFill="accent4" w:themeFillTint="33"/>
            <w:vAlign w:val="center"/>
          </w:tcPr>
          <w:p w14:paraId="77035847" w14:textId="77777777" w:rsidR="00624D2C" w:rsidRDefault="00624D2C" w:rsidP="00624D2C">
            <w:pPr>
              <w:jc w:val="center"/>
              <w:rPr>
                <w:sz w:val="21"/>
                <w:szCs w:val="21"/>
              </w:rPr>
            </w:pPr>
            <w:r w:rsidRPr="004A099A">
              <w:rPr>
                <w:sz w:val="21"/>
                <w:szCs w:val="21"/>
              </w:rPr>
              <w:t xml:space="preserve">90% to </w:t>
            </w:r>
          </w:p>
          <w:p w14:paraId="111BC475" w14:textId="3CADEA53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less than </w:t>
            </w:r>
            <w:r w:rsidRPr="004A099A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5</w:t>
            </w:r>
            <w:r w:rsidRPr="004A099A">
              <w:rPr>
                <w:sz w:val="21"/>
                <w:szCs w:val="21"/>
              </w:rPr>
              <w:t>%</w:t>
            </w:r>
          </w:p>
        </w:tc>
        <w:tc>
          <w:tcPr>
            <w:tcW w:w="1600" w:type="dxa"/>
            <w:shd w:val="clear" w:color="auto" w:fill="FBE4D5" w:themeFill="accent2" w:themeFillTint="33"/>
            <w:vAlign w:val="center"/>
          </w:tcPr>
          <w:p w14:paraId="714C6E1B" w14:textId="1E42B8CD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to 100%</w:t>
            </w:r>
          </w:p>
        </w:tc>
        <w:tc>
          <w:tcPr>
            <w:tcW w:w="1583" w:type="dxa"/>
            <w:shd w:val="clear" w:color="auto" w:fill="FFD1D2"/>
            <w:vAlign w:val="center"/>
          </w:tcPr>
          <w:p w14:paraId="1C28F098" w14:textId="149205F1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than 100%</w:t>
            </w:r>
          </w:p>
        </w:tc>
      </w:tr>
      <w:tr w:rsidR="00624D2C" w:rsidRPr="004A099A" w14:paraId="5DCB5FB3" w14:textId="77777777" w:rsidTr="004371E7"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20D17C75" w14:textId="2EBF4641" w:rsidR="00624D2C" w:rsidRPr="004371E7" w:rsidRDefault="00624D2C" w:rsidP="00624D2C">
            <w:pPr>
              <w:rPr>
                <w:b/>
                <w:bCs/>
                <w:sz w:val="19"/>
                <w:szCs w:val="19"/>
              </w:rPr>
            </w:pPr>
            <w:r w:rsidRPr="004371E7">
              <w:rPr>
                <w:b/>
                <w:bCs/>
                <w:sz w:val="19"/>
                <w:szCs w:val="19"/>
              </w:rPr>
              <w:t>2a. ED Boarding (Percent)</w:t>
            </w:r>
          </w:p>
          <w:p w14:paraId="1FA0655B" w14:textId="77777777" w:rsidR="00624D2C" w:rsidRPr="004371E7" w:rsidRDefault="00624D2C" w:rsidP="00624D2C">
            <w:pPr>
              <w:rPr>
                <w:i/>
                <w:iCs/>
                <w:sz w:val="19"/>
                <w:szCs w:val="19"/>
              </w:rPr>
            </w:pPr>
            <w:r w:rsidRPr="004371E7">
              <w:rPr>
                <w:i/>
                <w:iCs/>
                <w:sz w:val="19"/>
                <w:szCs w:val="19"/>
              </w:rPr>
              <w:t>(# of patients awaiting an inpatient bed/total # of ED spaces)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44197" w14:textId="77777777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</w:p>
          <w:p w14:paraId="55954A9C" w14:textId="20350604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___ %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5CFC0A" w14:textId="3A291848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</w:p>
          <w:p w14:paraId="063438A7" w14:textId="00800C1A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___ %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5D0728" w14:textId="206CBA4F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Less than 10%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239387" w14:textId="77777777" w:rsidR="00624D2C" w:rsidRDefault="00624D2C" w:rsidP="00624D2C">
            <w:pPr>
              <w:jc w:val="center"/>
              <w:rPr>
                <w:sz w:val="21"/>
                <w:szCs w:val="21"/>
              </w:rPr>
            </w:pPr>
            <w:r w:rsidRPr="004A099A">
              <w:rPr>
                <w:sz w:val="21"/>
                <w:szCs w:val="21"/>
              </w:rPr>
              <w:t>10%</w:t>
            </w:r>
            <w:r>
              <w:rPr>
                <w:sz w:val="21"/>
                <w:szCs w:val="21"/>
              </w:rPr>
              <w:t xml:space="preserve"> to </w:t>
            </w:r>
          </w:p>
          <w:p w14:paraId="76E88516" w14:textId="565E8BBC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less than 15</w:t>
            </w:r>
            <w:r w:rsidRPr="004A099A">
              <w:rPr>
                <w:sz w:val="21"/>
                <w:szCs w:val="21"/>
              </w:rPr>
              <w:t>%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1468AFC" w14:textId="77777777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15% to 20%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FD1D2"/>
            <w:vAlign w:val="center"/>
          </w:tcPr>
          <w:p w14:paraId="1A4ED844" w14:textId="77777777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Greater than 20%</w:t>
            </w:r>
          </w:p>
        </w:tc>
      </w:tr>
      <w:tr w:rsidR="00624D2C" w:rsidRPr="004A099A" w14:paraId="09F1AE92" w14:textId="77777777" w:rsidTr="004371E7"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33C4E" w14:textId="4106CE9D" w:rsidR="00624D2C" w:rsidRPr="004371E7" w:rsidRDefault="00624D2C" w:rsidP="00624D2C">
            <w:pPr>
              <w:rPr>
                <w:b/>
                <w:bCs/>
                <w:sz w:val="19"/>
                <w:szCs w:val="19"/>
              </w:rPr>
            </w:pPr>
            <w:r w:rsidRPr="004371E7">
              <w:rPr>
                <w:b/>
                <w:bCs/>
                <w:sz w:val="19"/>
                <w:szCs w:val="19"/>
              </w:rPr>
              <w:t>3a. Volume of Intubated Patients in ED (Percent)</w:t>
            </w:r>
          </w:p>
          <w:p w14:paraId="08CD53DB" w14:textId="77777777" w:rsidR="00624D2C" w:rsidRPr="004371E7" w:rsidRDefault="00624D2C" w:rsidP="00624D2C">
            <w:pPr>
              <w:rPr>
                <w:i/>
                <w:iCs/>
                <w:sz w:val="19"/>
                <w:szCs w:val="19"/>
              </w:rPr>
            </w:pPr>
            <w:r w:rsidRPr="004371E7">
              <w:rPr>
                <w:i/>
                <w:iCs/>
                <w:sz w:val="19"/>
                <w:szCs w:val="19"/>
              </w:rPr>
              <w:t>(# of intubated patients in ED/total # of ED spaces)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3477DC" w14:textId="77777777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</w:p>
          <w:p w14:paraId="7B761474" w14:textId="50E6F36F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___ 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C512F7" w14:textId="5B5C3550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</w:p>
          <w:p w14:paraId="44A413A8" w14:textId="10399991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___ %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14:paraId="4816B207" w14:textId="0541D9EA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 xml:space="preserve">Less than </w:t>
            </w:r>
            <w:r>
              <w:rPr>
                <w:sz w:val="20"/>
                <w:szCs w:val="20"/>
              </w:rPr>
              <w:t>8</w:t>
            </w:r>
            <w:r w:rsidRPr="000A1ECF">
              <w:rPr>
                <w:sz w:val="20"/>
                <w:szCs w:val="20"/>
              </w:rPr>
              <w:t>%</w:t>
            </w:r>
          </w:p>
        </w:tc>
        <w:tc>
          <w:tcPr>
            <w:tcW w:w="2019" w:type="dxa"/>
            <w:shd w:val="clear" w:color="auto" w:fill="FFF2CC" w:themeFill="accent4" w:themeFillTint="33"/>
            <w:vAlign w:val="center"/>
          </w:tcPr>
          <w:p w14:paraId="07EF575E" w14:textId="77777777" w:rsidR="00624D2C" w:rsidRDefault="00624D2C" w:rsidP="00624D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4A099A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to </w:t>
            </w:r>
          </w:p>
          <w:p w14:paraId="29B89C99" w14:textId="63DF488E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less than </w:t>
            </w:r>
            <w:r w:rsidRPr="004A099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4A099A">
              <w:rPr>
                <w:sz w:val="21"/>
                <w:szCs w:val="21"/>
              </w:rPr>
              <w:t>%</w:t>
            </w:r>
          </w:p>
        </w:tc>
        <w:tc>
          <w:tcPr>
            <w:tcW w:w="1600" w:type="dxa"/>
            <w:shd w:val="clear" w:color="auto" w:fill="FBE4D5" w:themeFill="accent2" w:themeFillTint="33"/>
            <w:vAlign w:val="center"/>
          </w:tcPr>
          <w:p w14:paraId="2A5C5C32" w14:textId="4E369652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A1ECF">
              <w:rPr>
                <w:sz w:val="20"/>
                <w:szCs w:val="20"/>
              </w:rPr>
              <w:t>% to 1</w:t>
            </w:r>
            <w:r>
              <w:rPr>
                <w:sz w:val="20"/>
                <w:szCs w:val="20"/>
              </w:rPr>
              <w:t>2</w:t>
            </w:r>
            <w:r w:rsidRPr="000A1ECF">
              <w:rPr>
                <w:sz w:val="20"/>
                <w:szCs w:val="20"/>
              </w:rPr>
              <w:t>%</w:t>
            </w:r>
          </w:p>
        </w:tc>
        <w:tc>
          <w:tcPr>
            <w:tcW w:w="1583" w:type="dxa"/>
            <w:shd w:val="clear" w:color="auto" w:fill="FFD1D2"/>
            <w:vAlign w:val="center"/>
          </w:tcPr>
          <w:p w14:paraId="3449B000" w14:textId="1B5ED6C9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Greater than 1</w:t>
            </w:r>
            <w:r>
              <w:rPr>
                <w:sz w:val="20"/>
                <w:szCs w:val="20"/>
              </w:rPr>
              <w:t>2</w:t>
            </w:r>
            <w:r w:rsidRPr="000A1ECF">
              <w:rPr>
                <w:sz w:val="20"/>
                <w:szCs w:val="20"/>
              </w:rPr>
              <w:t>%</w:t>
            </w:r>
          </w:p>
        </w:tc>
      </w:tr>
      <w:tr w:rsidR="00624D2C" w:rsidRPr="004A099A" w14:paraId="4257EAFD" w14:textId="77777777" w:rsidTr="004371E7"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D67A5" w14:textId="14000AA9" w:rsidR="00624D2C" w:rsidRPr="004371E7" w:rsidRDefault="00624D2C" w:rsidP="00624D2C">
            <w:pPr>
              <w:rPr>
                <w:b/>
                <w:bCs/>
                <w:sz w:val="19"/>
                <w:szCs w:val="19"/>
              </w:rPr>
            </w:pPr>
            <w:r w:rsidRPr="004371E7">
              <w:rPr>
                <w:b/>
                <w:bCs/>
                <w:sz w:val="19"/>
                <w:szCs w:val="19"/>
              </w:rPr>
              <w:t>4a. Inpatient Volume: Adult Medical-Surgical (Percent)</w:t>
            </w:r>
          </w:p>
          <w:p w14:paraId="24FA317C" w14:textId="627DFF61" w:rsidR="00624D2C" w:rsidRPr="004371E7" w:rsidRDefault="00624D2C" w:rsidP="00624D2C">
            <w:pPr>
              <w:rPr>
                <w:i/>
                <w:iCs/>
                <w:sz w:val="19"/>
                <w:szCs w:val="19"/>
              </w:rPr>
            </w:pPr>
            <w:r w:rsidRPr="004371E7">
              <w:rPr>
                <w:i/>
                <w:iCs/>
                <w:sz w:val="19"/>
                <w:szCs w:val="19"/>
              </w:rPr>
              <w:t>(# of occupied adult medical-surgical beds/total # of adult medical-surgical beds)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15D239" w14:textId="77777777" w:rsidR="00624D2C" w:rsidRDefault="00624D2C" w:rsidP="00624D2C">
            <w:pPr>
              <w:jc w:val="center"/>
              <w:rPr>
                <w:sz w:val="20"/>
                <w:szCs w:val="20"/>
              </w:rPr>
            </w:pPr>
          </w:p>
          <w:p w14:paraId="7CE4D545" w14:textId="2B2EB9F0" w:rsidR="00624D2C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___ 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F2DD8D" w14:textId="7BFB9089" w:rsidR="00624D2C" w:rsidRDefault="00624D2C" w:rsidP="00624D2C">
            <w:pPr>
              <w:jc w:val="center"/>
              <w:rPr>
                <w:sz w:val="20"/>
                <w:szCs w:val="20"/>
              </w:rPr>
            </w:pPr>
          </w:p>
          <w:p w14:paraId="53151AA7" w14:textId="78A83616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___ %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491AFE" w14:textId="109381A4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Less than 85%</w:t>
            </w:r>
          </w:p>
        </w:tc>
        <w:tc>
          <w:tcPr>
            <w:tcW w:w="2019" w:type="dxa"/>
            <w:shd w:val="clear" w:color="auto" w:fill="FFF2CC" w:themeFill="accent4" w:themeFillTint="33"/>
            <w:vAlign w:val="center"/>
          </w:tcPr>
          <w:p w14:paraId="42669C1F" w14:textId="77777777" w:rsidR="00624D2C" w:rsidRDefault="00624D2C" w:rsidP="00624D2C">
            <w:pPr>
              <w:jc w:val="center"/>
              <w:rPr>
                <w:sz w:val="21"/>
                <w:szCs w:val="21"/>
              </w:rPr>
            </w:pPr>
            <w:r w:rsidRPr="004A099A">
              <w:rPr>
                <w:sz w:val="21"/>
                <w:szCs w:val="21"/>
              </w:rPr>
              <w:t xml:space="preserve">85% to </w:t>
            </w:r>
          </w:p>
          <w:p w14:paraId="7828931A" w14:textId="03F75438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less than 90</w:t>
            </w:r>
            <w:r w:rsidRPr="004A099A">
              <w:rPr>
                <w:sz w:val="21"/>
                <w:szCs w:val="21"/>
              </w:rPr>
              <w:t>%</w:t>
            </w:r>
          </w:p>
        </w:tc>
        <w:tc>
          <w:tcPr>
            <w:tcW w:w="1600" w:type="dxa"/>
            <w:shd w:val="clear" w:color="auto" w:fill="FBE4D5" w:themeFill="accent2" w:themeFillTint="33"/>
            <w:vAlign w:val="center"/>
          </w:tcPr>
          <w:p w14:paraId="6845351B" w14:textId="28060C36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90% to 95%</w:t>
            </w:r>
          </w:p>
        </w:tc>
        <w:tc>
          <w:tcPr>
            <w:tcW w:w="1583" w:type="dxa"/>
            <w:shd w:val="clear" w:color="auto" w:fill="FFD1D2"/>
            <w:vAlign w:val="center"/>
          </w:tcPr>
          <w:p w14:paraId="7742377F" w14:textId="0B0F2D3E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Greater than 95%</w:t>
            </w:r>
          </w:p>
        </w:tc>
      </w:tr>
      <w:tr w:rsidR="00624D2C" w:rsidRPr="004A099A" w14:paraId="39F344FE" w14:textId="77777777" w:rsidTr="004371E7"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EBC75" w14:textId="0C14AD9F" w:rsidR="00624D2C" w:rsidRPr="004371E7" w:rsidRDefault="00624D2C" w:rsidP="00624D2C">
            <w:pPr>
              <w:rPr>
                <w:b/>
                <w:bCs/>
                <w:sz w:val="19"/>
                <w:szCs w:val="19"/>
              </w:rPr>
            </w:pPr>
            <w:r w:rsidRPr="004371E7">
              <w:rPr>
                <w:b/>
                <w:bCs/>
                <w:sz w:val="19"/>
                <w:szCs w:val="19"/>
              </w:rPr>
              <w:t>5a. Inpatient Volume: Adult Critical Care (Percent)</w:t>
            </w:r>
          </w:p>
          <w:p w14:paraId="18F0B876" w14:textId="23F1B854" w:rsidR="00624D2C" w:rsidRPr="004371E7" w:rsidRDefault="00624D2C" w:rsidP="00624D2C">
            <w:pPr>
              <w:rPr>
                <w:b/>
                <w:bCs/>
                <w:sz w:val="19"/>
                <w:szCs w:val="19"/>
              </w:rPr>
            </w:pPr>
            <w:r w:rsidRPr="004371E7">
              <w:rPr>
                <w:i/>
                <w:iCs/>
                <w:sz w:val="19"/>
                <w:szCs w:val="19"/>
              </w:rPr>
              <w:t>(# of occupied adult critical care beds/total # of adult critical care beds)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9FEEE0" w14:textId="77777777" w:rsidR="00624D2C" w:rsidRDefault="00624D2C" w:rsidP="00624D2C">
            <w:pPr>
              <w:jc w:val="center"/>
              <w:rPr>
                <w:sz w:val="20"/>
                <w:szCs w:val="20"/>
              </w:rPr>
            </w:pPr>
          </w:p>
          <w:p w14:paraId="56D7F042" w14:textId="249BD42E" w:rsidR="00624D2C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___ 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870CEC" w14:textId="71D6C1DB" w:rsidR="00624D2C" w:rsidRDefault="00624D2C" w:rsidP="00624D2C">
            <w:pPr>
              <w:jc w:val="center"/>
              <w:rPr>
                <w:sz w:val="20"/>
                <w:szCs w:val="20"/>
              </w:rPr>
            </w:pPr>
          </w:p>
          <w:p w14:paraId="4FFC9355" w14:textId="632542F8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___ %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E1462E" w14:textId="6BAC671C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Less than 85%</w:t>
            </w:r>
          </w:p>
        </w:tc>
        <w:tc>
          <w:tcPr>
            <w:tcW w:w="2019" w:type="dxa"/>
            <w:shd w:val="clear" w:color="auto" w:fill="FFF2CC" w:themeFill="accent4" w:themeFillTint="33"/>
            <w:vAlign w:val="center"/>
          </w:tcPr>
          <w:p w14:paraId="4C91407D" w14:textId="77777777" w:rsidR="00624D2C" w:rsidRDefault="00624D2C" w:rsidP="00624D2C">
            <w:pPr>
              <w:jc w:val="center"/>
              <w:rPr>
                <w:sz w:val="21"/>
                <w:szCs w:val="21"/>
              </w:rPr>
            </w:pPr>
            <w:r w:rsidRPr="004A099A">
              <w:rPr>
                <w:sz w:val="21"/>
                <w:szCs w:val="21"/>
              </w:rPr>
              <w:t xml:space="preserve">85% to </w:t>
            </w:r>
          </w:p>
          <w:p w14:paraId="0E4E3F36" w14:textId="1F319797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less than 90</w:t>
            </w:r>
            <w:r w:rsidRPr="004A099A">
              <w:rPr>
                <w:sz w:val="21"/>
                <w:szCs w:val="21"/>
              </w:rPr>
              <w:t>%</w:t>
            </w:r>
          </w:p>
        </w:tc>
        <w:tc>
          <w:tcPr>
            <w:tcW w:w="1600" w:type="dxa"/>
            <w:shd w:val="clear" w:color="auto" w:fill="FBE4D5" w:themeFill="accent2" w:themeFillTint="33"/>
            <w:vAlign w:val="center"/>
          </w:tcPr>
          <w:p w14:paraId="6ADBAEB1" w14:textId="77777777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90% to 95%</w:t>
            </w:r>
          </w:p>
        </w:tc>
        <w:tc>
          <w:tcPr>
            <w:tcW w:w="1583" w:type="dxa"/>
            <w:shd w:val="clear" w:color="auto" w:fill="FFD1D2"/>
            <w:vAlign w:val="center"/>
          </w:tcPr>
          <w:p w14:paraId="08C99F5C" w14:textId="77777777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Greater than 95%</w:t>
            </w:r>
          </w:p>
        </w:tc>
      </w:tr>
      <w:tr w:rsidR="00624D2C" w:rsidRPr="004A099A" w14:paraId="64C6540B" w14:textId="77777777" w:rsidTr="004371E7"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AA36F" w14:textId="6F1D0523" w:rsidR="00624D2C" w:rsidRPr="004371E7" w:rsidRDefault="00624D2C" w:rsidP="00624D2C">
            <w:pPr>
              <w:rPr>
                <w:b/>
                <w:bCs/>
                <w:sz w:val="19"/>
                <w:szCs w:val="19"/>
              </w:rPr>
            </w:pPr>
            <w:r w:rsidRPr="004371E7">
              <w:rPr>
                <w:b/>
                <w:bCs/>
                <w:sz w:val="19"/>
                <w:szCs w:val="19"/>
              </w:rPr>
              <w:t xml:space="preserve">6a. Volume of Intubated </w:t>
            </w:r>
            <w:r w:rsidR="001D0B15">
              <w:rPr>
                <w:b/>
                <w:bCs/>
                <w:sz w:val="19"/>
                <w:szCs w:val="19"/>
              </w:rPr>
              <w:t xml:space="preserve">Adult </w:t>
            </w:r>
            <w:r w:rsidR="0065037C">
              <w:rPr>
                <w:b/>
                <w:bCs/>
                <w:sz w:val="19"/>
                <w:szCs w:val="19"/>
              </w:rPr>
              <w:t>P</w:t>
            </w:r>
            <w:bookmarkStart w:id="0" w:name="_GoBack"/>
            <w:bookmarkEnd w:id="0"/>
            <w:r w:rsidR="006A3575">
              <w:rPr>
                <w:b/>
                <w:bCs/>
                <w:sz w:val="19"/>
                <w:szCs w:val="19"/>
              </w:rPr>
              <w:t>atients in Critical Care</w:t>
            </w:r>
            <w:r w:rsidRPr="004371E7">
              <w:rPr>
                <w:b/>
                <w:bCs/>
                <w:sz w:val="19"/>
                <w:szCs w:val="19"/>
              </w:rPr>
              <w:t xml:space="preserve"> (Percent)</w:t>
            </w:r>
          </w:p>
          <w:p w14:paraId="614CA706" w14:textId="254C6406" w:rsidR="00624D2C" w:rsidRPr="004371E7" w:rsidRDefault="00624D2C" w:rsidP="00624D2C">
            <w:pPr>
              <w:rPr>
                <w:i/>
                <w:iCs/>
                <w:sz w:val="19"/>
                <w:szCs w:val="19"/>
              </w:rPr>
            </w:pPr>
            <w:r w:rsidRPr="004371E7">
              <w:rPr>
                <w:i/>
                <w:iCs/>
                <w:sz w:val="19"/>
                <w:szCs w:val="19"/>
              </w:rPr>
              <w:t>(# of intubated inpatients/total # of adult critical care beds)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27A329" w14:textId="77777777" w:rsidR="00624D2C" w:rsidRDefault="00624D2C" w:rsidP="00624D2C">
            <w:pPr>
              <w:jc w:val="center"/>
              <w:rPr>
                <w:sz w:val="20"/>
                <w:szCs w:val="20"/>
              </w:rPr>
            </w:pPr>
          </w:p>
          <w:p w14:paraId="00A520AB" w14:textId="50AB0315" w:rsidR="00624D2C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___ 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CE91D3" w14:textId="3528FE00" w:rsidR="00624D2C" w:rsidRDefault="00624D2C" w:rsidP="00624D2C">
            <w:pPr>
              <w:jc w:val="center"/>
              <w:rPr>
                <w:sz w:val="20"/>
                <w:szCs w:val="20"/>
              </w:rPr>
            </w:pPr>
          </w:p>
          <w:p w14:paraId="35236FC6" w14:textId="4F9F1AA8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___ %</w:t>
            </w:r>
          </w:p>
        </w:tc>
        <w:tc>
          <w:tcPr>
            <w:tcW w:w="2641" w:type="dxa"/>
            <w:shd w:val="clear" w:color="auto" w:fill="E2EFD9" w:themeFill="accent6" w:themeFillTint="33"/>
            <w:vAlign w:val="center"/>
          </w:tcPr>
          <w:p w14:paraId="54B078E1" w14:textId="27AD0EF4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Less than 25%</w:t>
            </w:r>
          </w:p>
        </w:tc>
        <w:tc>
          <w:tcPr>
            <w:tcW w:w="2019" w:type="dxa"/>
            <w:shd w:val="clear" w:color="auto" w:fill="FFF2CC" w:themeFill="accent4" w:themeFillTint="33"/>
            <w:vAlign w:val="center"/>
          </w:tcPr>
          <w:p w14:paraId="422C3093" w14:textId="77777777" w:rsidR="00624D2C" w:rsidRDefault="00624D2C" w:rsidP="00624D2C">
            <w:pPr>
              <w:jc w:val="center"/>
              <w:rPr>
                <w:sz w:val="21"/>
                <w:szCs w:val="21"/>
              </w:rPr>
            </w:pPr>
            <w:r w:rsidRPr="004A099A">
              <w:rPr>
                <w:sz w:val="21"/>
                <w:szCs w:val="21"/>
              </w:rPr>
              <w:t xml:space="preserve">25% to </w:t>
            </w:r>
          </w:p>
          <w:p w14:paraId="111A3891" w14:textId="7B63E3EF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less than </w:t>
            </w:r>
            <w:r w:rsidRPr="004A099A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5</w:t>
            </w:r>
            <w:r w:rsidRPr="004A099A">
              <w:rPr>
                <w:sz w:val="21"/>
                <w:szCs w:val="21"/>
              </w:rPr>
              <w:t>%</w:t>
            </w:r>
          </w:p>
        </w:tc>
        <w:tc>
          <w:tcPr>
            <w:tcW w:w="1600" w:type="dxa"/>
            <w:shd w:val="clear" w:color="auto" w:fill="FBE4D5" w:themeFill="accent2" w:themeFillTint="33"/>
            <w:vAlign w:val="center"/>
          </w:tcPr>
          <w:p w14:paraId="35F8CA93" w14:textId="77777777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35% to 50%</w:t>
            </w:r>
          </w:p>
        </w:tc>
        <w:tc>
          <w:tcPr>
            <w:tcW w:w="1583" w:type="dxa"/>
            <w:shd w:val="clear" w:color="auto" w:fill="FFD1D2"/>
            <w:vAlign w:val="center"/>
          </w:tcPr>
          <w:p w14:paraId="24803036" w14:textId="77777777" w:rsidR="00624D2C" w:rsidRPr="000A1ECF" w:rsidRDefault="00624D2C" w:rsidP="00624D2C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Greater than 50%</w:t>
            </w:r>
          </w:p>
        </w:tc>
      </w:tr>
    </w:tbl>
    <w:p w14:paraId="68BE5456" w14:textId="0043C774" w:rsidR="004371E7" w:rsidRPr="004371E7" w:rsidRDefault="00BC1AB3" w:rsidP="00BC1AB3">
      <w:pPr>
        <w:rPr>
          <w:i/>
          <w:iCs/>
          <w:sz w:val="19"/>
          <w:szCs w:val="19"/>
        </w:rPr>
      </w:pPr>
      <w:r w:rsidRPr="004371E7">
        <w:rPr>
          <w:i/>
          <w:iCs/>
          <w:sz w:val="19"/>
          <w:szCs w:val="19"/>
        </w:rPr>
        <w:t xml:space="preserve">** The denominator for all percentages presented above </w:t>
      </w:r>
      <w:r w:rsidRPr="004371E7">
        <w:rPr>
          <w:i/>
          <w:iCs/>
          <w:sz w:val="19"/>
          <w:szCs w:val="19"/>
          <w:u w:val="single"/>
        </w:rPr>
        <w:t xml:space="preserve">includes any surge beds that have been added </w:t>
      </w:r>
      <w:r w:rsidRPr="004371E7">
        <w:rPr>
          <w:i/>
          <w:iCs/>
          <w:sz w:val="19"/>
          <w:szCs w:val="19"/>
        </w:rPr>
        <w:t>due to the activation of facility surge plans. These may include repurposed beds (i.e.</w:t>
      </w:r>
      <w:r w:rsidR="000472F3">
        <w:rPr>
          <w:i/>
          <w:iCs/>
          <w:sz w:val="19"/>
          <w:szCs w:val="19"/>
        </w:rPr>
        <w:t>,</w:t>
      </w:r>
      <w:r w:rsidRPr="004371E7">
        <w:rPr>
          <w:i/>
          <w:iCs/>
          <w:sz w:val="19"/>
          <w:szCs w:val="19"/>
        </w:rPr>
        <w:t xml:space="preserve"> rehab beds that are now being used as med</w:t>
      </w:r>
      <w:r w:rsidR="0013341B">
        <w:rPr>
          <w:i/>
          <w:iCs/>
          <w:sz w:val="19"/>
          <w:szCs w:val="19"/>
        </w:rPr>
        <w:t>ical</w:t>
      </w:r>
      <w:r w:rsidRPr="004371E7">
        <w:rPr>
          <w:i/>
          <w:iCs/>
          <w:sz w:val="19"/>
          <w:szCs w:val="19"/>
        </w:rPr>
        <w:t>-surg</w:t>
      </w:r>
      <w:r w:rsidR="0013341B">
        <w:rPr>
          <w:i/>
          <w:iCs/>
          <w:sz w:val="19"/>
          <w:szCs w:val="19"/>
        </w:rPr>
        <w:t>ical</w:t>
      </w:r>
      <w:r w:rsidRPr="004371E7">
        <w:rPr>
          <w:i/>
          <w:iCs/>
          <w:sz w:val="19"/>
          <w:szCs w:val="19"/>
        </w:rPr>
        <w:t xml:space="preserve"> beds) or new beds (i.e.</w:t>
      </w:r>
      <w:r w:rsidR="0013341B">
        <w:rPr>
          <w:i/>
          <w:iCs/>
          <w:sz w:val="19"/>
          <w:szCs w:val="19"/>
        </w:rPr>
        <w:t>,</w:t>
      </w:r>
      <w:r w:rsidRPr="004371E7">
        <w:rPr>
          <w:i/>
          <w:iCs/>
          <w:sz w:val="19"/>
          <w:szCs w:val="19"/>
        </w:rPr>
        <w:t xml:space="preserve"> adding a second bed to a single room).</w:t>
      </w:r>
    </w:p>
    <w:tbl>
      <w:tblPr>
        <w:tblStyle w:val="TableGrid"/>
        <w:tblW w:w="14678" w:type="dxa"/>
        <w:tblLook w:val="04A0" w:firstRow="1" w:lastRow="0" w:firstColumn="1" w:lastColumn="0" w:noHBand="0" w:noVBand="1"/>
      </w:tblPr>
      <w:tblGrid>
        <w:gridCol w:w="5035"/>
        <w:gridCol w:w="841"/>
        <w:gridCol w:w="985"/>
        <w:gridCol w:w="2611"/>
        <w:gridCol w:w="2020"/>
        <w:gridCol w:w="1601"/>
        <w:gridCol w:w="1585"/>
      </w:tblGrid>
      <w:tr w:rsidR="004371E7" w:rsidRPr="004A099A" w14:paraId="5089F3E3" w14:textId="77777777" w:rsidTr="004371E7">
        <w:tc>
          <w:tcPr>
            <w:tcW w:w="5035" w:type="dxa"/>
            <w:shd w:val="pct10" w:color="auto" w:fill="E5C9FF"/>
            <w:vAlign w:val="center"/>
          </w:tcPr>
          <w:p w14:paraId="277E066F" w14:textId="13252BE6" w:rsidR="004371E7" w:rsidRDefault="004371E7" w:rsidP="007671B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NUMBER-BASED TABLE</w:t>
            </w:r>
          </w:p>
          <w:p w14:paraId="1AC9080D" w14:textId="4F706FCE" w:rsidR="004371E7" w:rsidRPr="004A099A" w:rsidRDefault="004371E7" w:rsidP="007671BD">
            <w:pPr>
              <w:jc w:val="center"/>
              <w:rPr>
                <w:b/>
                <w:bCs/>
                <w:sz w:val="21"/>
                <w:szCs w:val="21"/>
              </w:rPr>
            </w:pPr>
            <w:r w:rsidRPr="004A099A">
              <w:rPr>
                <w:b/>
                <w:bCs/>
                <w:sz w:val="21"/>
                <w:szCs w:val="21"/>
              </w:rPr>
              <w:t>Surge Component</w:t>
            </w:r>
          </w:p>
        </w:tc>
        <w:tc>
          <w:tcPr>
            <w:tcW w:w="841" w:type="dxa"/>
            <w:shd w:val="pct10" w:color="auto" w:fill="E5C9FF"/>
          </w:tcPr>
          <w:p w14:paraId="1BC3D50B" w14:textId="77777777" w:rsidR="004371E7" w:rsidRDefault="004371E7" w:rsidP="007671B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AM </w:t>
            </w:r>
          </w:p>
          <w:p w14:paraId="0FF706CD" w14:textId="686A3D9E" w:rsidR="004371E7" w:rsidRDefault="004371E7" w:rsidP="007671B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Value</w:t>
            </w:r>
          </w:p>
        </w:tc>
        <w:tc>
          <w:tcPr>
            <w:tcW w:w="985" w:type="dxa"/>
            <w:shd w:val="pct10" w:color="auto" w:fill="E5C9FF"/>
          </w:tcPr>
          <w:p w14:paraId="2D469279" w14:textId="288C43A2" w:rsidR="004371E7" w:rsidRPr="00D677AE" w:rsidRDefault="004371E7" w:rsidP="007671B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PM Value</w:t>
            </w:r>
          </w:p>
        </w:tc>
        <w:tc>
          <w:tcPr>
            <w:tcW w:w="2611" w:type="dxa"/>
            <w:shd w:val="clear" w:color="auto" w:fill="C5E0B3" w:themeFill="accent6" w:themeFillTint="66"/>
            <w:vAlign w:val="center"/>
          </w:tcPr>
          <w:p w14:paraId="076DE4D5" w14:textId="77777777" w:rsidR="004371E7" w:rsidRPr="004A099A" w:rsidRDefault="004371E7" w:rsidP="007671BD">
            <w:pPr>
              <w:jc w:val="center"/>
              <w:rPr>
                <w:b/>
                <w:bCs/>
                <w:sz w:val="21"/>
                <w:szCs w:val="21"/>
              </w:rPr>
            </w:pPr>
            <w:r w:rsidRPr="004A099A">
              <w:rPr>
                <w:b/>
                <w:bCs/>
                <w:sz w:val="21"/>
                <w:szCs w:val="21"/>
              </w:rPr>
              <w:t>Green (normal) Range</w:t>
            </w:r>
          </w:p>
        </w:tc>
        <w:tc>
          <w:tcPr>
            <w:tcW w:w="2020" w:type="dxa"/>
            <w:shd w:val="clear" w:color="auto" w:fill="FFE599" w:themeFill="accent4" w:themeFillTint="66"/>
            <w:vAlign w:val="center"/>
          </w:tcPr>
          <w:p w14:paraId="1DF06DB0" w14:textId="77777777" w:rsidR="004371E7" w:rsidRPr="004A099A" w:rsidRDefault="004371E7" w:rsidP="007671BD">
            <w:pPr>
              <w:jc w:val="center"/>
              <w:rPr>
                <w:b/>
                <w:bCs/>
                <w:sz w:val="21"/>
                <w:szCs w:val="21"/>
              </w:rPr>
            </w:pPr>
            <w:r w:rsidRPr="004A099A">
              <w:rPr>
                <w:b/>
                <w:bCs/>
                <w:sz w:val="21"/>
                <w:szCs w:val="21"/>
              </w:rPr>
              <w:t>Yellow (elevated) Range</w:t>
            </w:r>
          </w:p>
        </w:tc>
        <w:tc>
          <w:tcPr>
            <w:tcW w:w="1601" w:type="dxa"/>
            <w:shd w:val="clear" w:color="auto" w:fill="F7CAAC" w:themeFill="accent2" w:themeFillTint="66"/>
            <w:vAlign w:val="center"/>
          </w:tcPr>
          <w:p w14:paraId="2BACB628" w14:textId="77777777" w:rsidR="004371E7" w:rsidRPr="004A099A" w:rsidRDefault="004371E7" w:rsidP="007671BD">
            <w:pPr>
              <w:jc w:val="center"/>
              <w:rPr>
                <w:b/>
                <w:bCs/>
                <w:sz w:val="21"/>
                <w:szCs w:val="21"/>
              </w:rPr>
            </w:pPr>
            <w:r w:rsidRPr="004A099A">
              <w:rPr>
                <w:b/>
                <w:bCs/>
                <w:sz w:val="21"/>
                <w:szCs w:val="21"/>
              </w:rPr>
              <w:t>Orange (significant) Range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FFAEAA"/>
            <w:vAlign w:val="center"/>
          </w:tcPr>
          <w:p w14:paraId="1BD4DF5F" w14:textId="77777777" w:rsidR="004371E7" w:rsidRPr="004A099A" w:rsidRDefault="004371E7" w:rsidP="007671BD">
            <w:pPr>
              <w:jc w:val="center"/>
              <w:rPr>
                <w:b/>
                <w:bCs/>
                <w:sz w:val="21"/>
                <w:szCs w:val="21"/>
              </w:rPr>
            </w:pPr>
            <w:r w:rsidRPr="004A099A">
              <w:rPr>
                <w:b/>
                <w:bCs/>
                <w:sz w:val="21"/>
                <w:szCs w:val="21"/>
              </w:rPr>
              <w:t>Red (critical) Range</w:t>
            </w:r>
          </w:p>
        </w:tc>
      </w:tr>
      <w:tr w:rsidR="008915FF" w:rsidRPr="000A1ECF" w14:paraId="6E9C14C3" w14:textId="77777777" w:rsidTr="004E49B4">
        <w:tc>
          <w:tcPr>
            <w:tcW w:w="5035" w:type="dxa"/>
            <w:shd w:val="pct10" w:color="auto" w:fill="auto"/>
            <w:vAlign w:val="center"/>
          </w:tcPr>
          <w:p w14:paraId="73BB0B77" w14:textId="30B68F98" w:rsidR="008915FF" w:rsidRPr="008915FF" w:rsidRDefault="008915FF" w:rsidP="008915FF">
            <w:pPr>
              <w:rPr>
                <w:b/>
                <w:bCs/>
                <w:color w:val="2F5496" w:themeColor="accent1" w:themeShade="BF"/>
                <w:sz w:val="19"/>
                <w:szCs w:val="19"/>
              </w:rPr>
            </w:pPr>
            <w:r w:rsidRPr="008915FF">
              <w:rPr>
                <w:b/>
                <w:bCs/>
                <w:color w:val="2F5496" w:themeColor="accent1" w:themeShade="BF"/>
                <w:sz w:val="19"/>
                <w:szCs w:val="19"/>
              </w:rPr>
              <w:t>1</w:t>
            </w:r>
            <w:r>
              <w:rPr>
                <w:b/>
                <w:bCs/>
                <w:color w:val="2F5496" w:themeColor="accent1" w:themeShade="BF"/>
                <w:sz w:val="19"/>
                <w:szCs w:val="19"/>
              </w:rPr>
              <w:t>b</w:t>
            </w:r>
            <w:r w:rsidRPr="008915FF">
              <w:rPr>
                <w:b/>
                <w:bCs/>
                <w:color w:val="2F5496" w:themeColor="accent1" w:themeShade="BF"/>
                <w:sz w:val="19"/>
                <w:szCs w:val="19"/>
              </w:rPr>
              <w:t>. ED Volume (Number)</w:t>
            </w:r>
          </w:p>
          <w:p w14:paraId="58A578E1" w14:textId="69B3D46E" w:rsidR="008915FF" w:rsidRPr="008915FF" w:rsidRDefault="008915FF" w:rsidP="008915FF">
            <w:pPr>
              <w:rPr>
                <w:i/>
                <w:iCs/>
                <w:color w:val="2F5496" w:themeColor="accent1" w:themeShade="BF"/>
                <w:sz w:val="19"/>
                <w:szCs w:val="19"/>
              </w:rPr>
            </w:pPr>
            <w:r w:rsidRPr="008915FF">
              <w:rPr>
                <w:i/>
                <w:iCs/>
                <w:color w:val="2F5496" w:themeColor="accent1" w:themeShade="BF"/>
                <w:sz w:val="19"/>
                <w:szCs w:val="19"/>
              </w:rPr>
              <w:t>(# of occupied spaces/total # of ED spaces)</w:t>
            </w:r>
          </w:p>
        </w:tc>
        <w:tc>
          <w:tcPr>
            <w:tcW w:w="841" w:type="dxa"/>
            <w:shd w:val="pct10" w:color="auto" w:fill="auto"/>
          </w:tcPr>
          <w:p w14:paraId="006E911D" w14:textId="77777777" w:rsidR="008915FF" w:rsidRPr="008915F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  <w:p w14:paraId="4E351135" w14:textId="64CB3015" w:rsidR="008915FF" w:rsidRPr="008915FF" w:rsidRDefault="008915FF" w:rsidP="008915FF">
            <w:pPr>
              <w:rPr>
                <w:color w:val="2F5496" w:themeColor="accent1" w:themeShade="BF"/>
                <w:sz w:val="20"/>
                <w:szCs w:val="20"/>
              </w:rPr>
            </w:pPr>
            <w:r w:rsidRPr="008915FF">
              <w:rPr>
                <w:color w:val="2F5496" w:themeColor="accent1" w:themeShade="BF"/>
                <w:sz w:val="20"/>
                <w:szCs w:val="20"/>
              </w:rPr>
              <w:t>___</w:t>
            </w:r>
            <w:r w:rsidR="00B42E6C">
              <w:rPr>
                <w:color w:val="2F5496" w:themeColor="accent1" w:themeShade="BF"/>
                <w:sz w:val="20"/>
                <w:szCs w:val="20"/>
              </w:rPr>
              <w:t xml:space="preserve"> (#)</w:t>
            </w:r>
          </w:p>
        </w:tc>
        <w:tc>
          <w:tcPr>
            <w:tcW w:w="985" w:type="dxa"/>
            <w:shd w:val="pct10" w:color="auto" w:fill="auto"/>
          </w:tcPr>
          <w:p w14:paraId="1EF798DC" w14:textId="77777777" w:rsidR="008915FF" w:rsidRPr="008915F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  <w:p w14:paraId="2FE046E5" w14:textId="543B0DCD" w:rsidR="008915FF" w:rsidRPr="008915F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8915FF">
              <w:rPr>
                <w:color w:val="2F5496" w:themeColor="accent1" w:themeShade="BF"/>
                <w:sz w:val="20"/>
                <w:szCs w:val="20"/>
              </w:rPr>
              <w:t>___</w:t>
            </w:r>
            <w:r w:rsidR="00B42E6C">
              <w:rPr>
                <w:color w:val="2F5496" w:themeColor="accent1" w:themeShade="BF"/>
                <w:sz w:val="20"/>
                <w:szCs w:val="20"/>
              </w:rPr>
              <w:t xml:space="preserve">  (#)</w:t>
            </w:r>
          </w:p>
        </w:tc>
        <w:tc>
          <w:tcPr>
            <w:tcW w:w="2611" w:type="dxa"/>
            <w:shd w:val="clear" w:color="auto" w:fill="E2EFD9" w:themeFill="accent6" w:themeFillTint="33"/>
          </w:tcPr>
          <w:p w14:paraId="33F022CF" w14:textId="77777777" w:rsidR="008915FF" w:rsidRDefault="008915FF" w:rsidP="008915FF">
            <w:pPr>
              <w:jc w:val="center"/>
              <w:rPr>
                <w:sz w:val="20"/>
                <w:szCs w:val="20"/>
              </w:rPr>
            </w:pPr>
          </w:p>
          <w:p w14:paraId="4A0C9A27" w14:textId="54EA19E4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9F5827">
              <w:rPr>
                <w:sz w:val="20"/>
                <w:szCs w:val="20"/>
              </w:rPr>
              <w:t>Less than ___</w:t>
            </w:r>
          </w:p>
        </w:tc>
        <w:tc>
          <w:tcPr>
            <w:tcW w:w="2020" w:type="dxa"/>
            <w:shd w:val="clear" w:color="auto" w:fill="FFF2CC" w:themeFill="accent4" w:themeFillTint="33"/>
            <w:vAlign w:val="center"/>
          </w:tcPr>
          <w:p w14:paraId="6082B7A3" w14:textId="20A65A88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to __</w:t>
            </w:r>
          </w:p>
        </w:tc>
        <w:tc>
          <w:tcPr>
            <w:tcW w:w="1601" w:type="dxa"/>
            <w:shd w:val="clear" w:color="auto" w:fill="FBE4D5" w:themeFill="accent2" w:themeFillTint="33"/>
            <w:vAlign w:val="center"/>
          </w:tcPr>
          <w:p w14:paraId="11CBD085" w14:textId="28EBDA5D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to __</w:t>
            </w:r>
          </w:p>
        </w:tc>
        <w:tc>
          <w:tcPr>
            <w:tcW w:w="1585" w:type="dxa"/>
            <w:shd w:val="clear" w:color="auto" w:fill="FFD1D2"/>
            <w:vAlign w:val="center"/>
          </w:tcPr>
          <w:p w14:paraId="530B2BCC" w14:textId="7B24FC25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or higher</w:t>
            </w:r>
          </w:p>
        </w:tc>
      </w:tr>
      <w:tr w:rsidR="008915FF" w:rsidRPr="000A1ECF" w14:paraId="320FE44F" w14:textId="77777777" w:rsidTr="00085534">
        <w:tc>
          <w:tcPr>
            <w:tcW w:w="50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7322683" w14:textId="77777777" w:rsidR="008915FF" w:rsidRPr="004371E7" w:rsidRDefault="008915FF" w:rsidP="008915FF">
            <w:pPr>
              <w:rPr>
                <w:b/>
                <w:bCs/>
                <w:color w:val="2F5496" w:themeColor="accent1" w:themeShade="BF"/>
                <w:sz w:val="19"/>
                <w:szCs w:val="19"/>
              </w:rPr>
            </w:pPr>
            <w:r w:rsidRPr="004371E7">
              <w:rPr>
                <w:b/>
                <w:bCs/>
                <w:color w:val="2F5496" w:themeColor="accent1" w:themeShade="BF"/>
                <w:sz w:val="19"/>
                <w:szCs w:val="19"/>
              </w:rPr>
              <w:t>2b. ED Boarding (Number)</w:t>
            </w:r>
          </w:p>
          <w:p w14:paraId="59FC63F4" w14:textId="42D7E82A" w:rsidR="008915FF" w:rsidRPr="004371E7" w:rsidRDefault="008915FF" w:rsidP="008915FF">
            <w:pPr>
              <w:rPr>
                <w:b/>
                <w:bCs/>
                <w:color w:val="2F5496" w:themeColor="accent1" w:themeShade="BF"/>
                <w:sz w:val="19"/>
                <w:szCs w:val="19"/>
              </w:rPr>
            </w:pPr>
            <w:r w:rsidRPr="004371E7">
              <w:rPr>
                <w:i/>
                <w:iCs/>
                <w:color w:val="2F5496" w:themeColor="accent1" w:themeShade="BF"/>
                <w:sz w:val="19"/>
                <w:szCs w:val="19"/>
              </w:rPr>
              <w:t>Applying the percent ranges above, number range for facility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pct10" w:color="auto" w:fill="auto"/>
          </w:tcPr>
          <w:p w14:paraId="7320C6DE" w14:textId="77777777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  <w:p w14:paraId="4D2274F1" w14:textId="4B7A26DD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0A1ECF">
              <w:rPr>
                <w:color w:val="2F5496" w:themeColor="accent1" w:themeShade="BF"/>
                <w:sz w:val="20"/>
                <w:szCs w:val="20"/>
              </w:rPr>
              <w:t>___ (#)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pct10" w:color="auto" w:fill="auto"/>
          </w:tcPr>
          <w:p w14:paraId="429364ED" w14:textId="64E1FFE2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  <w:p w14:paraId="2B93B768" w14:textId="77777777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0A1ECF">
              <w:rPr>
                <w:color w:val="2F5496" w:themeColor="accent1" w:themeShade="BF"/>
                <w:sz w:val="20"/>
                <w:szCs w:val="20"/>
              </w:rPr>
              <w:t>___ (#)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CEFEC6B" w14:textId="6D936552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9F5827">
              <w:rPr>
                <w:sz w:val="20"/>
                <w:szCs w:val="20"/>
              </w:rPr>
              <w:t>Less than ___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B4DA454" w14:textId="77777777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to __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CA61416" w14:textId="77777777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to __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FFD1D2"/>
            <w:vAlign w:val="center"/>
          </w:tcPr>
          <w:p w14:paraId="3A5D8DA6" w14:textId="77777777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or higher</w:t>
            </w:r>
          </w:p>
        </w:tc>
      </w:tr>
      <w:tr w:rsidR="008915FF" w:rsidRPr="000A1ECF" w14:paraId="40C51A91" w14:textId="77777777" w:rsidTr="00085534">
        <w:tc>
          <w:tcPr>
            <w:tcW w:w="5035" w:type="dxa"/>
            <w:shd w:val="pct10" w:color="auto" w:fill="auto"/>
            <w:vAlign w:val="center"/>
          </w:tcPr>
          <w:p w14:paraId="083B4CCD" w14:textId="77777777" w:rsidR="008915FF" w:rsidRPr="004371E7" w:rsidRDefault="008915FF" w:rsidP="008915FF">
            <w:pPr>
              <w:rPr>
                <w:b/>
                <w:bCs/>
                <w:color w:val="2F5496" w:themeColor="accent1" w:themeShade="BF"/>
                <w:sz w:val="19"/>
                <w:szCs w:val="19"/>
              </w:rPr>
            </w:pPr>
            <w:r w:rsidRPr="004371E7">
              <w:rPr>
                <w:b/>
                <w:bCs/>
                <w:color w:val="2F5496" w:themeColor="accent1" w:themeShade="BF"/>
                <w:sz w:val="19"/>
                <w:szCs w:val="19"/>
              </w:rPr>
              <w:t>3a. Volume of Intubated Patients in ED (Number)</w:t>
            </w:r>
          </w:p>
          <w:p w14:paraId="65FE01E1" w14:textId="6FF26334" w:rsidR="008915FF" w:rsidRPr="004371E7" w:rsidRDefault="008915FF" w:rsidP="008915FF">
            <w:pPr>
              <w:rPr>
                <w:b/>
                <w:bCs/>
                <w:color w:val="2F5496" w:themeColor="accent1" w:themeShade="BF"/>
                <w:sz w:val="19"/>
                <w:szCs w:val="19"/>
              </w:rPr>
            </w:pPr>
            <w:r w:rsidRPr="004371E7">
              <w:rPr>
                <w:i/>
                <w:iCs/>
                <w:color w:val="2F5496" w:themeColor="accent1" w:themeShade="BF"/>
                <w:sz w:val="19"/>
                <w:szCs w:val="19"/>
              </w:rPr>
              <w:t>Applying the percent ranges above, number range for facility</w:t>
            </w:r>
          </w:p>
        </w:tc>
        <w:tc>
          <w:tcPr>
            <w:tcW w:w="841" w:type="dxa"/>
            <w:shd w:val="pct10" w:color="auto" w:fill="auto"/>
          </w:tcPr>
          <w:p w14:paraId="2831BBA3" w14:textId="77777777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  <w:p w14:paraId="4B326928" w14:textId="16F81D68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0A1ECF">
              <w:rPr>
                <w:color w:val="2F5496" w:themeColor="accent1" w:themeShade="BF"/>
                <w:sz w:val="20"/>
                <w:szCs w:val="20"/>
              </w:rPr>
              <w:t>___ (#)</w:t>
            </w:r>
          </w:p>
        </w:tc>
        <w:tc>
          <w:tcPr>
            <w:tcW w:w="985" w:type="dxa"/>
            <w:shd w:val="pct10" w:color="auto" w:fill="auto"/>
          </w:tcPr>
          <w:p w14:paraId="5C9AF16C" w14:textId="3DED1459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  <w:p w14:paraId="3F2CB086" w14:textId="77777777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0A1ECF">
              <w:rPr>
                <w:color w:val="2F5496" w:themeColor="accent1" w:themeShade="BF"/>
                <w:sz w:val="20"/>
                <w:szCs w:val="20"/>
              </w:rPr>
              <w:t>___ (#)</w:t>
            </w:r>
          </w:p>
        </w:tc>
        <w:tc>
          <w:tcPr>
            <w:tcW w:w="2611" w:type="dxa"/>
            <w:shd w:val="clear" w:color="auto" w:fill="E2EFD9" w:themeFill="accent6" w:themeFillTint="33"/>
          </w:tcPr>
          <w:p w14:paraId="307CDAEC" w14:textId="4AA2F60C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9F5827">
              <w:rPr>
                <w:sz w:val="20"/>
                <w:szCs w:val="20"/>
              </w:rPr>
              <w:t>Less than ___</w:t>
            </w:r>
          </w:p>
        </w:tc>
        <w:tc>
          <w:tcPr>
            <w:tcW w:w="2020" w:type="dxa"/>
            <w:shd w:val="clear" w:color="auto" w:fill="FFF2CC" w:themeFill="accent4" w:themeFillTint="33"/>
            <w:vAlign w:val="center"/>
          </w:tcPr>
          <w:p w14:paraId="40E76C32" w14:textId="77777777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to __</w:t>
            </w:r>
          </w:p>
        </w:tc>
        <w:tc>
          <w:tcPr>
            <w:tcW w:w="1601" w:type="dxa"/>
            <w:shd w:val="clear" w:color="auto" w:fill="FBE4D5" w:themeFill="accent2" w:themeFillTint="33"/>
            <w:vAlign w:val="center"/>
          </w:tcPr>
          <w:p w14:paraId="092E998D" w14:textId="77777777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to __</w:t>
            </w:r>
          </w:p>
        </w:tc>
        <w:tc>
          <w:tcPr>
            <w:tcW w:w="1585" w:type="dxa"/>
            <w:shd w:val="clear" w:color="auto" w:fill="FFD1D2"/>
            <w:vAlign w:val="center"/>
          </w:tcPr>
          <w:p w14:paraId="5BC57277" w14:textId="77777777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or higher</w:t>
            </w:r>
          </w:p>
        </w:tc>
      </w:tr>
      <w:tr w:rsidR="008915FF" w:rsidRPr="000A1ECF" w14:paraId="28A2750B" w14:textId="77777777" w:rsidTr="00085534">
        <w:tc>
          <w:tcPr>
            <w:tcW w:w="5035" w:type="dxa"/>
            <w:shd w:val="pct10" w:color="auto" w:fill="auto"/>
            <w:vAlign w:val="center"/>
          </w:tcPr>
          <w:p w14:paraId="54F99D57" w14:textId="77777777" w:rsidR="008915FF" w:rsidRPr="004371E7" w:rsidRDefault="008915FF" w:rsidP="008915FF">
            <w:pPr>
              <w:rPr>
                <w:b/>
                <w:bCs/>
                <w:color w:val="2F5496" w:themeColor="accent1" w:themeShade="BF"/>
                <w:sz w:val="19"/>
                <w:szCs w:val="19"/>
              </w:rPr>
            </w:pPr>
            <w:r w:rsidRPr="004371E7">
              <w:rPr>
                <w:b/>
                <w:bCs/>
                <w:color w:val="2F5496" w:themeColor="accent1" w:themeShade="BF"/>
                <w:sz w:val="19"/>
                <w:szCs w:val="19"/>
              </w:rPr>
              <w:t>4b. Inpatient Volume: Adult Medical-Surgical (Number)</w:t>
            </w:r>
          </w:p>
          <w:p w14:paraId="0716034D" w14:textId="40D4BAD3" w:rsidR="008915FF" w:rsidRPr="004371E7" w:rsidRDefault="008915FF" w:rsidP="008915FF">
            <w:pPr>
              <w:rPr>
                <w:b/>
                <w:bCs/>
                <w:color w:val="2F5496" w:themeColor="accent1" w:themeShade="BF"/>
                <w:sz w:val="19"/>
                <w:szCs w:val="19"/>
              </w:rPr>
            </w:pPr>
            <w:r w:rsidRPr="004371E7">
              <w:rPr>
                <w:i/>
                <w:iCs/>
                <w:color w:val="2F5496" w:themeColor="accent1" w:themeShade="BF"/>
                <w:sz w:val="19"/>
                <w:szCs w:val="19"/>
              </w:rPr>
              <w:t>Applying the percent ranges above, number range for facility</w:t>
            </w:r>
          </w:p>
        </w:tc>
        <w:tc>
          <w:tcPr>
            <w:tcW w:w="841" w:type="dxa"/>
            <w:shd w:val="pct10" w:color="auto" w:fill="auto"/>
          </w:tcPr>
          <w:p w14:paraId="478CD34E" w14:textId="77777777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  <w:p w14:paraId="569B717E" w14:textId="00933DD8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0A1ECF">
              <w:rPr>
                <w:color w:val="2F5496" w:themeColor="accent1" w:themeShade="BF"/>
                <w:sz w:val="20"/>
                <w:szCs w:val="20"/>
              </w:rPr>
              <w:t>___ (#)</w:t>
            </w:r>
          </w:p>
        </w:tc>
        <w:tc>
          <w:tcPr>
            <w:tcW w:w="985" w:type="dxa"/>
            <w:shd w:val="pct10" w:color="auto" w:fill="auto"/>
          </w:tcPr>
          <w:p w14:paraId="72895BA4" w14:textId="67F900AA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  <w:p w14:paraId="1A8D8509" w14:textId="77777777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0A1ECF">
              <w:rPr>
                <w:color w:val="2F5496" w:themeColor="accent1" w:themeShade="BF"/>
                <w:sz w:val="20"/>
                <w:szCs w:val="20"/>
              </w:rPr>
              <w:t>___ (#)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3577D2" w14:textId="68C5FC8E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9F5827">
              <w:rPr>
                <w:sz w:val="20"/>
                <w:szCs w:val="20"/>
              </w:rPr>
              <w:t>Less than ___</w:t>
            </w:r>
          </w:p>
        </w:tc>
        <w:tc>
          <w:tcPr>
            <w:tcW w:w="2020" w:type="dxa"/>
            <w:shd w:val="clear" w:color="auto" w:fill="FFF2CC" w:themeFill="accent4" w:themeFillTint="33"/>
            <w:vAlign w:val="center"/>
          </w:tcPr>
          <w:p w14:paraId="18428D0E" w14:textId="77777777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to __</w:t>
            </w:r>
          </w:p>
        </w:tc>
        <w:tc>
          <w:tcPr>
            <w:tcW w:w="1601" w:type="dxa"/>
            <w:shd w:val="clear" w:color="auto" w:fill="FBE4D5" w:themeFill="accent2" w:themeFillTint="33"/>
            <w:vAlign w:val="center"/>
          </w:tcPr>
          <w:p w14:paraId="4C2A1CCA" w14:textId="77777777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to __</w:t>
            </w:r>
          </w:p>
        </w:tc>
        <w:tc>
          <w:tcPr>
            <w:tcW w:w="1585" w:type="dxa"/>
            <w:shd w:val="clear" w:color="auto" w:fill="FFD1D2"/>
            <w:vAlign w:val="center"/>
          </w:tcPr>
          <w:p w14:paraId="069F4EE6" w14:textId="77777777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or higher</w:t>
            </w:r>
          </w:p>
        </w:tc>
      </w:tr>
      <w:tr w:rsidR="008915FF" w:rsidRPr="000A1ECF" w14:paraId="45B41343" w14:textId="77777777" w:rsidTr="00085534">
        <w:tc>
          <w:tcPr>
            <w:tcW w:w="5035" w:type="dxa"/>
            <w:shd w:val="pct10" w:color="auto" w:fill="auto"/>
            <w:vAlign w:val="center"/>
          </w:tcPr>
          <w:p w14:paraId="6E1DB26D" w14:textId="77777777" w:rsidR="008915FF" w:rsidRPr="004371E7" w:rsidRDefault="008915FF" w:rsidP="008915FF">
            <w:pPr>
              <w:rPr>
                <w:b/>
                <w:bCs/>
                <w:color w:val="2F5496" w:themeColor="accent1" w:themeShade="BF"/>
                <w:sz w:val="19"/>
                <w:szCs w:val="19"/>
              </w:rPr>
            </w:pPr>
            <w:r w:rsidRPr="004371E7">
              <w:rPr>
                <w:b/>
                <w:bCs/>
                <w:color w:val="2F5496" w:themeColor="accent1" w:themeShade="BF"/>
                <w:sz w:val="19"/>
                <w:szCs w:val="19"/>
              </w:rPr>
              <w:t>5b. Inpatient Volume: Adult Critical Care (Number)</w:t>
            </w:r>
          </w:p>
          <w:p w14:paraId="0452E774" w14:textId="3C101116" w:rsidR="008915FF" w:rsidRPr="004371E7" w:rsidRDefault="008915FF" w:rsidP="008915FF">
            <w:pPr>
              <w:rPr>
                <w:b/>
                <w:bCs/>
                <w:color w:val="2F5496" w:themeColor="accent1" w:themeShade="BF"/>
                <w:sz w:val="19"/>
                <w:szCs w:val="19"/>
              </w:rPr>
            </w:pPr>
            <w:r w:rsidRPr="004371E7">
              <w:rPr>
                <w:i/>
                <w:iCs/>
                <w:color w:val="2F5496" w:themeColor="accent1" w:themeShade="BF"/>
                <w:sz w:val="19"/>
                <w:szCs w:val="19"/>
              </w:rPr>
              <w:t>Applying the percent ranges above, number range for facility</w:t>
            </w:r>
          </w:p>
        </w:tc>
        <w:tc>
          <w:tcPr>
            <w:tcW w:w="841" w:type="dxa"/>
            <w:shd w:val="pct10" w:color="auto" w:fill="auto"/>
          </w:tcPr>
          <w:p w14:paraId="2BB8272A" w14:textId="77777777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  <w:p w14:paraId="3E672F61" w14:textId="52C349BA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0A1ECF">
              <w:rPr>
                <w:color w:val="2F5496" w:themeColor="accent1" w:themeShade="BF"/>
                <w:sz w:val="20"/>
                <w:szCs w:val="20"/>
              </w:rPr>
              <w:t>___ (#)</w:t>
            </w:r>
          </w:p>
        </w:tc>
        <w:tc>
          <w:tcPr>
            <w:tcW w:w="985" w:type="dxa"/>
            <w:shd w:val="pct10" w:color="auto" w:fill="auto"/>
          </w:tcPr>
          <w:p w14:paraId="7B85F752" w14:textId="245DD2A8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  <w:p w14:paraId="5D6E0F1B" w14:textId="77777777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0A1ECF">
              <w:rPr>
                <w:color w:val="2F5496" w:themeColor="accent1" w:themeShade="BF"/>
                <w:sz w:val="20"/>
                <w:szCs w:val="20"/>
              </w:rPr>
              <w:t>___ (#)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4664A2" w14:textId="0E76B765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9F5827">
              <w:rPr>
                <w:sz w:val="20"/>
                <w:szCs w:val="20"/>
              </w:rPr>
              <w:t>Less than ___</w:t>
            </w:r>
          </w:p>
        </w:tc>
        <w:tc>
          <w:tcPr>
            <w:tcW w:w="2020" w:type="dxa"/>
            <w:shd w:val="clear" w:color="auto" w:fill="FFF2CC" w:themeFill="accent4" w:themeFillTint="33"/>
            <w:vAlign w:val="center"/>
          </w:tcPr>
          <w:p w14:paraId="418F9549" w14:textId="77777777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to __</w:t>
            </w:r>
          </w:p>
        </w:tc>
        <w:tc>
          <w:tcPr>
            <w:tcW w:w="1601" w:type="dxa"/>
            <w:shd w:val="clear" w:color="auto" w:fill="FBE4D5" w:themeFill="accent2" w:themeFillTint="33"/>
            <w:vAlign w:val="center"/>
          </w:tcPr>
          <w:p w14:paraId="3C5EE3B7" w14:textId="77777777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to __</w:t>
            </w:r>
          </w:p>
        </w:tc>
        <w:tc>
          <w:tcPr>
            <w:tcW w:w="1585" w:type="dxa"/>
            <w:shd w:val="clear" w:color="auto" w:fill="FFD1D2"/>
            <w:vAlign w:val="center"/>
          </w:tcPr>
          <w:p w14:paraId="1F52C74A" w14:textId="77777777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or higher</w:t>
            </w:r>
          </w:p>
        </w:tc>
      </w:tr>
      <w:tr w:rsidR="008915FF" w:rsidRPr="000A1ECF" w14:paraId="2972B995" w14:textId="77777777" w:rsidTr="00085534">
        <w:tc>
          <w:tcPr>
            <w:tcW w:w="5035" w:type="dxa"/>
            <w:shd w:val="pct10" w:color="auto" w:fill="auto"/>
            <w:vAlign w:val="center"/>
          </w:tcPr>
          <w:p w14:paraId="552EE84E" w14:textId="16A4838C" w:rsidR="008915FF" w:rsidRPr="004371E7" w:rsidRDefault="008915FF" w:rsidP="008915FF">
            <w:pPr>
              <w:rPr>
                <w:b/>
                <w:bCs/>
                <w:color w:val="2F5496" w:themeColor="accent1" w:themeShade="BF"/>
                <w:sz w:val="19"/>
                <w:szCs w:val="19"/>
              </w:rPr>
            </w:pPr>
            <w:r w:rsidRPr="004371E7">
              <w:rPr>
                <w:b/>
                <w:bCs/>
                <w:color w:val="2F5496" w:themeColor="accent1" w:themeShade="BF"/>
                <w:sz w:val="19"/>
                <w:szCs w:val="19"/>
              </w:rPr>
              <w:t xml:space="preserve">6b. Volume of Intubated </w:t>
            </w:r>
            <w:r w:rsidR="001D0B15">
              <w:rPr>
                <w:b/>
                <w:bCs/>
                <w:color w:val="2F5496" w:themeColor="accent1" w:themeShade="BF"/>
                <w:sz w:val="19"/>
                <w:szCs w:val="19"/>
              </w:rPr>
              <w:t xml:space="preserve">Adult </w:t>
            </w:r>
            <w:r w:rsidR="0065037C">
              <w:rPr>
                <w:b/>
                <w:bCs/>
                <w:color w:val="2F5496" w:themeColor="accent1" w:themeShade="BF"/>
                <w:sz w:val="19"/>
                <w:szCs w:val="19"/>
              </w:rPr>
              <w:t>P</w:t>
            </w:r>
            <w:r w:rsidR="006A3575">
              <w:rPr>
                <w:b/>
                <w:bCs/>
                <w:color w:val="2F5496" w:themeColor="accent1" w:themeShade="BF"/>
                <w:sz w:val="19"/>
                <w:szCs w:val="19"/>
              </w:rPr>
              <w:t xml:space="preserve">atients in Critical Care </w:t>
            </w:r>
            <w:r w:rsidRPr="004371E7">
              <w:rPr>
                <w:b/>
                <w:bCs/>
                <w:color w:val="2F5496" w:themeColor="accent1" w:themeShade="BF"/>
                <w:sz w:val="19"/>
                <w:szCs w:val="19"/>
              </w:rPr>
              <w:t>(Number)</w:t>
            </w:r>
          </w:p>
          <w:p w14:paraId="0392D8EC" w14:textId="4F6C4A10" w:rsidR="008915FF" w:rsidRPr="004371E7" w:rsidRDefault="008915FF" w:rsidP="008915FF">
            <w:pPr>
              <w:rPr>
                <w:b/>
                <w:bCs/>
                <w:color w:val="2F5496" w:themeColor="accent1" w:themeShade="BF"/>
                <w:sz w:val="19"/>
                <w:szCs w:val="19"/>
              </w:rPr>
            </w:pPr>
            <w:r w:rsidRPr="004371E7">
              <w:rPr>
                <w:i/>
                <w:iCs/>
                <w:color w:val="2F5496" w:themeColor="accent1" w:themeShade="BF"/>
                <w:sz w:val="19"/>
                <w:szCs w:val="19"/>
              </w:rPr>
              <w:t>Applying the percent ranges above, number range for facility</w:t>
            </w:r>
          </w:p>
        </w:tc>
        <w:tc>
          <w:tcPr>
            <w:tcW w:w="841" w:type="dxa"/>
            <w:shd w:val="pct10" w:color="auto" w:fill="auto"/>
          </w:tcPr>
          <w:p w14:paraId="28F05740" w14:textId="77777777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  <w:p w14:paraId="4015C9D6" w14:textId="274FF8FC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0A1ECF">
              <w:rPr>
                <w:color w:val="2F5496" w:themeColor="accent1" w:themeShade="BF"/>
                <w:sz w:val="20"/>
                <w:szCs w:val="20"/>
              </w:rPr>
              <w:t>___ (#)</w:t>
            </w:r>
          </w:p>
        </w:tc>
        <w:tc>
          <w:tcPr>
            <w:tcW w:w="985" w:type="dxa"/>
            <w:shd w:val="pct10" w:color="auto" w:fill="auto"/>
          </w:tcPr>
          <w:p w14:paraId="33988E62" w14:textId="1791667F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  <w:p w14:paraId="7E9B055D" w14:textId="77777777" w:rsidR="008915FF" w:rsidRPr="000A1ECF" w:rsidRDefault="008915FF" w:rsidP="008915F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0A1ECF">
              <w:rPr>
                <w:color w:val="2F5496" w:themeColor="accent1" w:themeShade="BF"/>
                <w:sz w:val="20"/>
                <w:szCs w:val="20"/>
              </w:rPr>
              <w:t>___ (#)</w:t>
            </w:r>
          </w:p>
        </w:tc>
        <w:tc>
          <w:tcPr>
            <w:tcW w:w="2611" w:type="dxa"/>
            <w:shd w:val="clear" w:color="auto" w:fill="E2EFD9" w:themeFill="accent6" w:themeFillTint="33"/>
          </w:tcPr>
          <w:p w14:paraId="1C29B0BB" w14:textId="7B664F11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9F5827">
              <w:rPr>
                <w:sz w:val="20"/>
                <w:szCs w:val="20"/>
              </w:rPr>
              <w:t>Less than ___</w:t>
            </w:r>
          </w:p>
        </w:tc>
        <w:tc>
          <w:tcPr>
            <w:tcW w:w="2020" w:type="dxa"/>
            <w:shd w:val="clear" w:color="auto" w:fill="FFF2CC" w:themeFill="accent4" w:themeFillTint="33"/>
            <w:vAlign w:val="center"/>
          </w:tcPr>
          <w:p w14:paraId="066DB7CD" w14:textId="77777777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to __</w:t>
            </w:r>
          </w:p>
        </w:tc>
        <w:tc>
          <w:tcPr>
            <w:tcW w:w="1601" w:type="dxa"/>
            <w:shd w:val="clear" w:color="auto" w:fill="FBE4D5" w:themeFill="accent2" w:themeFillTint="33"/>
            <w:vAlign w:val="center"/>
          </w:tcPr>
          <w:p w14:paraId="3A30D9FD" w14:textId="77777777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to __</w:t>
            </w:r>
          </w:p>
        </w:tc>
        <w:tc>
          <w:tcPr>
            <w:tcW w:w="1585" w:type="dxa"/>
            <w:shd w:val="clear" w:color="auto" w:fill="FFD1D2"/>
            <w:vAlign w:val="center"/>
          </w:tcPr>
          <w:p w14:paraId="7F278052" w14:textId="77777777" w:rsidR="008915FF" w:rsidRPr="000A1ECF" w:rsidRDefault="008915FF" w:rsidP="008915FF">
            <w:pPr>
              <w:jc w:val="center"/>
              <w:rPr>
                <w:sz w:val="20"/>
                <w:szCs w:val="20"/>
              </w:rPr>
            </w:pPr>
            <w:r w:rsidRPr="000A1ECF">
              <w:rPr>
                <w:sz w:val="20"/>
                <w:szCs w:val="20"/>
              </w:rPr>
              <w:t>__ or higher</w:t>
            </w:r>
          </w:p>
        </w:tc>
      </w:tr>
    </w:tbl>
    <w:p w14:paraId="07E27934" w14:textId="77777777" w:rsidR="004371E7" w:rsidRDefault="004371E7" w:rsidP="000066FB">
      <w:pPr>
        <w:rPr>
          <w:b/>
          <w:bCs/>
          <w:i/>
          <w:iCs/>
          <w:sz w:val="20"/>
        </w:rPr>
      </w:pPr>
    </w:p>
    <w:p w14:paraId="16D6564F" w14:textId="3AC571E8" w:rsidR="00B36F59" w:rsidRPr="00B36F59" w:rsidRDefault="000066FB" w:rsidP="000066FB">
      <w:pPr>
        <w:rPr>
          <w:i/>
          <w:sz w:val="20"/>
        </w:rPr>
      </w:pPr>
      <w:r w:rsidRPr="000066FB">
        <w:rPr>
          <w:b/>
          <w:bCs/>
          <w:i/>
          <w:iCs/>
          <w:sz w:val="20"/>
        </w:rPr>
        <w:lastRenderedPageBreak/>
        <w:t>Step 2:</w:t>
      </w:r>
      <w:r w:rsidR="001D5B79">
        <w:rPr>
          <w:b/>
          <w:bCs/>
          <w:i/>
          <w:iCs/>
          <w:sz w:val="20"/>
        </w:rPr>
        <w:t xml:space="preserve"> </w:t>
      </w:r>
      <w:r w:rsidR="001D5B79">
        <w:rPr>
          <w:sz w:val="20"/>
        </w:rPr>
        <w:t>A</w:t>
      </w:r>
      <w:r w:rsidR="00BD0A48" w:rsidRPr="000066FB">
        <w:rPr>
          <w:sz w:val="20"/>
        </w:rPr>
        <w:t>ssign values to each component using the two tables below.</w:t>
      </w:r>
      <w:r w:rsidR="008B5229">
        <w:rPr>
          <w:sz w:val="20"/>
        </w:rPr>
        <w:t xml:space="preserve"> Calculate an overall ED component score and overall inpatient components score and then add them together. </w:t>
      </w:r>
      <w:r w:rsidR="00BD0A48" w:rsidRPr="000066FB">
        <w:rPr>
          <w:i/>
          <w:sz w:val="20"/>
        </w:rPr>
        <w:t xml:space="preserve">Please note that </w:t>
      </w:r>
      <w:r w:rsidR="00B36F59">
        <w:rPr>
          <w:i/>
          <w:sz w:val="20"/>
        </w:rPr>
        <w:t xml:space="preserve">the overall </w:t>
      </w:r>
      <w:r w:rsidR="00BD0A48" w:rsidRPr="000066FB">
        <w:rPr>
          <w:i/>
          <w:sz w:val="20"/>
        </w:rPr>
        <w:t xml:space="preserve">inpatient </w:t>
      </w:r>
      <w:r w:rsidR="008B5229">
        <w:rPr>
          <w:i/>
          <w:sz w:val="20"/>
        </w:rPr>
        <w:t>score</w:t>
      </w:r>
      <w:r w:rsidR="00B42E6C">
        <w:rPr>
          <w:i/>
          <w:sz w:val="20"/>
        </w:rPr>
        <w:t xml:space="preserve"> </w:t>
      </w:r>
      <w:r w:rsidR="00B36F59">
        <w:rPr>
          <w:i/>
          <w:sz w:val="20"/>
        </w:rPr>
        <w:t>is</w:t>
      </w:r>
      <w:r w:rsidR="00BD0A48" w:rsidRPr="000066FB">
        <w:rPr>
          <w:i/>
          <w:sz w:val="20"/>
        </w:rPr>
        <w:t xml:space="preserve"> assigned a higher </w:t>
      </w:r>
      <w:r w:rsidR="00B36F59">
        <w:rPr>
          <w:i/>
          <w:sz w:val="20"/>
        </w:rPr>
        <w:t xml:space="preserve">weight of 0.6 vs. 0.4 for the overall ED </w:t>
      </w:r>
      <w:r w:rsidR="008B5229">
        <w:rPr>
          <w:i/>
          <w:sz w:val="20"/>
        </w:rPr>
        <w:t>score</w:t>
      </w:r>
      <w:r w:rsidR="00BD0A48" w:rsidRPr="000066FB">
        <w:rPr>
          <w:i/>
          <w:sz w:val="20"/>
        </w:rPr>
        <w:t>. The rationale for this is inpatient components are more resource-intensive over a longer period of time, thereby placing greater stress on a facilit</w:t>
      </w:r>
      <w:r w:rsidR="00B36F59">
        <w:rPr>
          <w:i/>
          <w:sz w:val="20"/>
        </w:rPr>
        <w:t>y.</w:t>
      </w:r>
    </w:p>
    <w:p w14:paraId="33484089" w14:textId="420C9BBA" w:rsidR="00BD0A48" w:rsidRDefault="00BD0A48" w:rsidP="000066FB">
      <w:pPr>
        <w:pStyle w:val="ListParagraph"/>
        <w:numPr>
          <w:ilvl w:val="0"/>
          <w:numId w:val="7"/>
        </w:numPr>
        <w:rPr>
          <w:sz w:val="20"/>
        </w:rPr>
      </w:pPr>
      <w:r w:rsidRPr="000066FB">
        <w:rPr>
          <w:sz w:val="20"/>
        </w:rPr>
        <w:t xml:space="preserve">Using the table above in </w:t>
      </w:r>
      <w:r w:rsidR="000066FB">
        <w:rPr>
          <w:sz w:val="20"/>
        </w:rPr>
        <w:t>Step 1</w:t>
      </w:r>
      <w:r w:rsidR="00471C80">
        <w:rPr>
          <w:sz w:val="20"/>
        </w:rPr>
        <w:t>,</w:t>
      </w:r>
      <w:r w:rsidR="000066FB">
        <w:rPr>
          <w:sz w:val="20"/>
        </w:rPr>
        <w:t xml:space="preserve"> </w:t>
      </w:r>
      <w:r w:rsidRPr="000066FB">
        <w:rPr>
          <w:sz w:val="20"/>
        </w:rPr>
        <w:t>circle the value for each ED Surge Component.</w:t>
      </w:r>
    </w:p>
    <w:p w14:paraId="495B95BA" w14:textId="77777777" w:rsidR="000066FB" w:rsidRPr="000066FB" w:rsidRDefault="000066FB" w:rsidP="000066FB">
      <w:pPr>
        <w:pStyle w:val="ListParagraph"/>
        <w:rPr>
          <w:sz w:val="20"/>
        </w:rPr>
      </w:pPr>
    </w:p>
    <w:tbl>
      <w:tblPr>
        <w:tblStyle w:val="TableGrid"/>
        <w:tblW w:w="12325" w:type="dxa"/>
        <w:tblLook w:val="04A0" w:firstRow="1" w:lastRow="0" w:firstColumn="1" w:lastColumn="0" w:noHBand="0" w:noVBand="1"/>
      </w:tblPr>
      <w:tblGrid>
        <w:gridCol w:w="5688"/>
        <w:gridCol w:w="1530"/>
        <w:gridCol w:w="1867"/>
        <w:gridCol w:w="1620"/>
        <w:gridCol w:w="1620"/>
      </w:tblGrid>
      <w:tr w:rsidR="00BD0A48" w:rsidRPr="00BB50C3" w14:paraId="5DA03030" w14:textId="77777777" w:rsidTr="001F3594">
        <w:tc>
          <w:tcPr>
            <w:tcW w:w="5688" w:type="dxa"/>
            <w:shd w:val="clear" w:color="auto" w:fill="BFBFBF" w:themeFill="background1" w:themeFillShade="BF"/>
            <w:vAlign w:val="center"/>
          </w:tcPr>
          <w:p w14:paraId="75E09458" w14:textId="77777777" w:rsidR="00BD0A48" w:rsidRPr="00BB50C3" w:rsidRDefault="00BD0A48" w:rsidP="001F3594">
            <w:pPr>
              <w:jc w:val="center"/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>ED Surge Components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43A7E63C" w14:textId="77777777" w:rsidR="00BD0A48" w:rsidRPr="00BB50C3" w:rsidRDefault="00BD0A48" w:rsidP="001F3594">
            <w:pPr>
              <w:jc w:val="center"/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>Green (normal) Range</w:t>
            </w:r>
          </w:p>
        </w:tc>
        <w:tc>
          <w:tcPr>
            <w:tcW w:w="1867" w:type="dxa"/>
            <w:shd w:val="clear" w:color="auto" w:fill="FFE599" w:themeFill="accent4" w:themeFillTint="66"/>
            <w:vAlign w:val="center"/>
          </w:tcPr>
          <w:p w14:paraId="1B3865CA" w14:textId="77777777" w:rsidR="00BD0A48" w:rsidRPr="00BB50C3" w:rsidRDefault="00BD0A48" w:rsidP="001F3594">
            <w:pPr>
              <w:jc w:val="center"/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>Yellow (elevated) Range</w:t>
            </w:r>
          </w:p>
        </w:tc>
        <w:tc>
          <w:tcPr>
            <w:tcW w:w="1620" w:type="dxa"/>
            <w:shd w:val="clear" w:color="auto" w:fill="F7CAAC" w:themeFill="accent2" w:themeFillTint="66"/>
            <w:vAlign w:val="center"/>
          </w:tcPr>
          <w:p w14:paraId="5DA5AFA0" w14:textId="77777777" w:rsidR="00BD0A48" w:rsidRPr="00BB50C3" w:rsidRDefault="00BD0A48" w:rsidP="001F3594">
            <w:pPr>
              <w:jc w:val="center"/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>Orange (significant) Range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AEAA"/>
            <w:vAlign w:val="center"/>
          </w:tcPr>
          <w:p w14:paraId="384F84A3" w14:textId="77777777" w:rsidR="00BD0A48" w:rsidRPr="00BB50C3" w:rsidRDefault="00BD0A48" w:rsidP="001F3594">
            <w:pPr>
              <w:jc w:val="center"/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>Red (critical) Range</w:t>
            </w:r>
          </w:p>
        </w:tc>
      </w:tr>
      <w:tr w:rsidR="00BD0A48" w:rsidRPr="00BB50C3" w14:paraId="3B704593" w14:textId="77777777" w:rsidTr="001F3594">
        <w:tc>
          <w:tcPr>
            <w:tcW w:w="5688" w:type="dxa"/>
            <w:vAlign w:val="center"/>
          </w:tcPr>
          <w:p w14:paraId="03CC46B9" w14:textId="115C6C8E" w:rsidR="00BD0A48" w:rsidRPr="000066FB" w:rsidRDefault="00BD0A48" w:rsidP="001F359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>ED Volume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4EC1E579" w14:textId="77777777" w:rsidR="00BD0A48" w:rsidRPr="00BB50C3" w:rsidRDefault="00BD0A48" w:rsidP="001F3594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1.0</w:t>
            </w:r>
          </w:p>
        </w:tc>
        <w:tc>
          <w:tcPr>
            <w:tcW w:w="1867" w:type="dxa"/>
            <w:shd w:val="clear" w:color="auto" w:fill="FFF2CC" w:themeFill="accent4" w:themeFillTint="33"/>
            <w:vAlign w:val="center"/>
          </w:tcPr>
          <w:p w14:paraId="7F8D2A9F" w14:textId="77777777" w:rsidR="00BD0A48" w:rsidRPr="00BB50C3" w:rsidRDefault="00BD0A48" w:rsidP="001F3594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2.0</w:t>
            </w: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14:paraId="65A90388" w14:textId="77777777" w:rsidR="00BD0A48" w:rsidRPr="00BB50C3" w:rsidRDefault="00BD0A48" w:rsidP="001F3594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3.0</w:t>
            </w:r>
          </w:p>
        </w:tc>
        <w:tc>
          <w:tcPr>
            <w:tcW w:w="1620" w:type="dxa"/>
            <w:shd w:val="clear" w:color="auto" w:fill="FFD1D2"/>
            <w:vAlign w:val="center"/>
          </w:tcPr>
          <w:p w14:paraId="1FF9564B" w14:textId="77777777" w:rsidR="00BD0A48" w:rsidRPr="00BB50C3" w:rsidRDefault="00BD0A48" w:rsidP="001F3594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4.0</w:t>
            </w:r>
          </w:p>
        </w:tc>
      </w:tr>
      <w:tr w:rsidR="00BD0A48" w:rsidRPr="00BB50C3" w14:paraId="43BC1F21" w14:textId="77777777" w:rsidTr="001F3594">
        <w:tc>
          <w:tcPr>
            <w:tcW w:w="5688" w:type="dxa"/>
            <w:tcBorders>
              <w:bottom w:val="single" w:sz="4" w:space="0" w:color="auto"/>
            </w:tcBorders>
            <w:vAlign w:val="center"/>
          </w:tcPr>
          <w:p w14:paraId="2E52F9C8" w14:textId="4022C833" w:rsidR="00BD0A48" w:rsidRPr="000066FB" w:rsidRDefault="00BD0A48" w:rsidP="001F359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 xml:space="preserve">ED Boarding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453B0F" w14:textId="77777777" w:rsidR="00BD0A48" w:rsidRPr="00BB50C3" w:rsidRDefault="00BD0A48" w:rsidP="001F3594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1.0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AF77A47" w14:textId="77777777" w:rsidR="00BD0A48" w:rsidRPr="00BB50C3" w:rsidRDefault="00BD0A48" w:rsidP="001F3594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2.0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31AC8BD" w14:textId="77777777" w:rsidR="00BD0A48" w:rsidRPr="00BB50C3" w:rsidRDefault="00BD0A48" w:rsidP="001F3594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3.0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D1D2"/>
          </w:tcPr>
          <w:p w14:paraId="7593D76B" w14:textId="77777777" w:rsidR="00BD0A48" w:rsidRPr="00BB50C3" w:rsidRDefault="00BD0A48" w:rsidP="001F3594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4.0</w:t>
            </w:r>
          </w:p>
        </w:tc>
      </w:tr>
      <w:tr w:rsidR="00BD0A48" w:rsidRPr="00BB50C3" w14:paraId="2D0B2B32" w14:textId="77777777" w:rsidTr="001F3594">
        <w:tc>
          <w:tcPr>
            <w:tcW w:w="5688" w:type="dxa"/>
            <w:shd w:val="clear" w:color="auto" w:fill="auto"/>
            <w:vAlign w:val="center"/>
          </w:tcPr>
          <w:p w14:paraId="463779E1" w14:textId="3B03E5BA" w:rsidR="00BD0A48" w:rsidRPr="000066FB" w:rsidRDefault="00BD0A48" w:rsidP="001F359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>Volume of Intubated Patients in ED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594B847A" w14:textId="77777777" w:rsidR="00BD0A48" w:rsidRPr="00BB50C3" w:rsidRDefault="00BD0A48" w:rsidP="001F3594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1.0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14:paraId="4126310F" w14:textId="77777777" w:rsidR="00BD0A48" w:rsidRPr="00BB50C3" w:rsidRDefault="00BD0A48" w:rsidP="001F3594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2.0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7134E623" w14:textId="77777777" w:rsidR="00BD0A48" w:rsidRPr="00BB50C3" w:rsidRDefault="00BD0A48" w:rsidP="001F3594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3.0</w:t>
            </w:r>
          </w:p>
        </w:tc>
        <w:tc>
          <w:tcPr>
            <w:tcW w:w="1620" w:type="dxa"/>
            <w:shd w:val="clear" w:color="auto" w:fill="FFD1D2"/>
          </w:tcPr>
          <w:p w14:paraId="156DB6D1" w14:textId="77777777" w:rsidR="00BD0A48" w:rsidRPr="00BB50C3" w:rsidRDefault="00BD0A48" w:rsidP="001F3594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4.0</w:t>
            </w:r>
          </w:p>
        </w:tc>
      </w:tr>
    </w:tbl>
    <w:p w14:paraId="2084EAA4" w14:textId="57B6A211" w:rsidR="00BD0A48" w:rsidRDefault="00BD0A48" w:rsidP="00BD0A48">
      <w:pPr>
        <w:rPr>
          <w:sz w:val="6"/>
        </w:rPr>
      </w:pPr>
    </w:p>
    <w:p w14:paraId="40B70FC9" w14:textId="1BF03335" w:rsidR="00B36F59" w:rsidRPr="00B36F59" w:rsidRDefault="00B36F59" w:rsidP="00BD0A48">
      <w:pPr>
        <w:rPr>
          <w:sz w:val="21"/>
          <w:szCs w:val="56"/>
        </w:rPr>
      </w:pPr>
      <w:r>
        <w:rPr>
          <w:noProof/>
          <w:sz w:val="21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A7BE9" wp14:editId="090AC530">
                <wp:simplePos x="0" y="0"/>
                <wp:positionH relativeFrom="column">
                  <wp:posOffset>6885940</wp:posOffset>
                </wp:positionH>
                <wp:positionV relativeFrom="paragraph">
                  <wp:posOffset>161925</wp:posOffset>
                </wp:positionV>
                <wp:extent cx="673100" cy="266700"/>
                <wp:effectExtent l="12700" t="1270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D534B" w14:textId="77777777" w:rsidR="00B36F59" w:rsidRDefault="00B36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E2A7B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2.2pt;margin-top:12.75pt;width:53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" fillcolor="white [3201]" strokeweight="1.75pt">
                <v:textbox>
                  <w:txbxContent>
                    <w:p w14:paraId="1BAD534B" w14:textId="77777777" w:rsidR="00B36F59" w:rsidRDefault="00B36F59"/>
                  </w:txbxContent>
                </v:textbox>
              </v:shape>
            </w:pict>
          </mc:Fallback>
        </mc:AlternateContent>
      </w:r>
      <w:r w:rsidRPr="00B36F59">
        <w:rPr>
          <w:sz w:val="21"/>
          <w:szCs w:val="56"/>
        </w:rPr>
        <w:t>The</w:t>
      </w:r>
      <w:r w:rsidR="00471C80">
        <w:rPr>
          <w:sz w:val="21"/>
          <w:szCs w:val="56"/>
        </w:rPr>
        <w:t>n</w:t>
      </w:r>
      <w:r w:rsidRPr="00B36F59">
        <w:rPr>
          <w:sz w:val="21"/>
          <w:szCs w:val="56"/>
        </w:rPr>
        <w:t xml:space="preserve"> add the three values together, average them</w:t>
      </w:r>
      <w:r w:rsidR="00471C80">
        <w:rPr>
          <w:sz w:val="21"/>
          <w:szCs w:val="56"/>
        </w:rPr>
        <w:t>,</w:t>
      </w:r>
      <w:r w:rsidRPr="00B36F59">
        <w:rPr>
          <w:sz w:val="21"/>
          <w:szCs w:val="56"/>
        </w:rPr>
        <w:t xml:space="preserve"> and multiply by 0.4.</w:t>
      </w:r>
    </w:p>
    <w:p w14:paraId="67A7E3E2" w14:textId="4D9C8919" w:rsidR="00B36F59" w:rsidRPr="00B36F59" w:rsidRDefault="00B36F59" w:rsidP="00BD0A48">
      <w:pPr>
        <w:rPr>
          <w:sz w:val="21"/>
          <w:szCs w:val="56"/>
        </w:rPr>
      </w:pPr>
      <w:r w:rsidRPr="00B36F59">
        <w:rPr>
          <w:sz w:val="21"/>
          <w:szCs w:val="56"/>
        </w:rPr>
        <w:t xml:space="preserve">ED Volume Value  </w:t>
      </w:r>
      <w:r>
        <w:rPr>
          <w:sz w:val="21"/>
          <w:szCs w:val="56"/>
        </w:rPr>
        <w:t xml:space="preserve"> </w:t>
      </w:r>
      <w:r w:rsidRPr="00B36F59">
        <w:rPr>
          <w:sz w:val="21"/>
          <w:szCs w:val="56"/>
        </w:rPr>
        <w:t xml:space="preserve">____ + ED Boarding Value _____ + Volume of Intubated Patients Value _____ = ______ /3 = ______ x 0.4 = </w:t>
      </w:r>
      <w:r>
        <w:rPr>
          <w:sz w:val="21"/>
          <w:szCs w:val="56"/>
        </w:rPr>
        <w:t xml:space="preserve"> </w:t>
      </w:r>
      <w:r w:rsidRPr="00B36F59">
        <w:rPr>
          <w:sz w:val="21"/>
          <w:szCs w:val="56"/>
        </w:rPr>
        <w:t xml:space="preserve"> </w:t>
      </w:r>
    </w:p>
    <w:p w14:paraId="7FDDDA4F" w14:textId="77777777" w:rsidR="00B36F59" w:rsidRPr="00BB50C3" w:rsidRDefault="00B36F59" w:rsidP="00BD0A48">
      <w:pPr>
        <w:rPr>
          <w:sz w:val="6"/>
        </w:rPr>
      </w:pPr>
    </w:p>
    <w:p w14:paraId="262A6860" w14:textId="74E15CF9" w:rsidR="00BD0A48" w:rsidRDefault="00BD0A48" w:rsidP="000066FB">
      <w:pPr>
        <w:pStyle w:val="ListParagraph"/>
        <w:numPr>
          <w:ilvl w:val="0"/>
          <w:numId w:val="7"/>
        </w:numPr>
        <w:rPr>
          <w:sz w:val="20"/>
        </w:rPr>
      </w:pPr>
      <w:r w:rsidRPr="000066FB">
        <w:rPr>
          <w:sz w:val="20"/>
        </w:rPr>
        <w:t xml:space="preserve">Using the table above in </w:t>
      </w:r>
      <w:r w:rsidR="004371E7">
        <w:rPr>
          <w:sz w:val="20"/>
        </w:rPr>
        <w:t>Step 1</w:t>
      </w:r>
      <w:r w:rsidR="00471C80">
        <w:rPr>
          <w:sz w:val="20"/>
        </w:rPr>
        <w:t>,</w:t>
      </w:r>
      <w:r w:rsidR="004371E7">
        <w:rPr>
          <w:sz w:val="20"/>
        </w:rPr>
        <w:t xml:space="preserve"> </w:t>
      </w:r>
      <w:r w:rsidRPr="000066FB">
        <w:rPr>
          <w:sz w:val="20"/>
        </w:rPr>
        <w:t xml:space="preserve">circle the value for each </w:t>
      </w:r>
      <w:r w:rsidR="0013341B">
        <w:rPr>
          <w:sz w:val="20"/>
        </w:rPr>
        <w:t>i</w:t>
      </w:r>
      <w:r w:rsidR="0013341B" w:rsidRPr="000066FB">
        <w:rPr>
          <w:sz w:val="20"/>
        </w:rPr>
        <w:t xml:space="preserve">npatient </w:t>
      </w:r>
      <w:r w:rsidR="0013341B">
        <w:rPr>
          <w:sz w:val="20"/>
        </w:rPr>
        <w:t>s</w:t>
      </w:r>
      <w:r w:rsidR="0013341B" w:rsidRPr="000066FB">
        <w:rPr>
          <w:sz w:val="20"/>
        </w:rPr>
        <w:t xml:space="preserve">urge </w:t>
      </w:r>
      <w:r w:rsidR="0013341B">
        <w:rPr>
          <w:sz w:val="20"/>
        </w:rPr>
        <w:t>c</w:t>
      </w:r>
      <w:r w:rsidR="0013341B" w:rsidRPr="000066FB">
        <w:rPr>
          <w:sz w:val="20"/>
        </w:rPr>
        <w:t>omponent</w:t>
      </w:r>
      <w:r w:rsidRPr="000066FB">
        <w:rPr>
          <w:sz w:val="20"/>
        </w:rPr>
        <w:t xml:space="preserve">.  </w:t>
      </w:r>
    </w:p>
    <w:p w14:paraId="1D5A1D22" w14:textId="77777777" w:rsidR="000066FB" w:rsidRPr="000066FB" w:rsidRDefault="000066FB" w:rsidP="000066FB">
      <w:pPr>
        <w:pStyle w:val="ListParagraph"/>
        <w:rPr>
          <w:sz w:val="20"/>
        </w:rPr>
      </w:pPr>
    </w:p>
    <w:tbl>
      <w:tblPr>
        <w:tblStyle w:val="TableGrid"/>
        <w:tblW w:w="12325" w:type="dxa"/>
        <w:tblLook w:val="04A0" w:firstRow="1" w:lastRow="0" w:firstColumn="1" w:lastColumn="0" w:noHBand="0" w:noVBand="1"/>
      </w:tblPr>
      <w:tblGrid>
        <w:gridCol w:w="5688"/>
        <w:gridCol w:w="1530"/>
        <w:gridCol w:w="1867"/>
        <w:gridCol w:w="1620"/>
        <w:gridCol w:w="1620"/>
      </w:tblGrid>
      <w:tr w:rsidR="00BD0A48" w:rsidRPr="00BB50C3" w14:paraId="55774B2D" w14:textId="77777777" w:rsidTr="001F3594">
        <w:tc>
          <w:tcPr>
            <w:tcW w:w="5688" w:type="dxa"/>
            <w:shd w:val="clear" w:color="auto" w:fill="BFBFBF" w:themeFill="background1" w:themeFillShade="BF"/>
            <w:vAlign w:val="center"/>
          </w:tcPr>
          <w:p w14:paraId="43F2F9B3" w14:textId="77777777" w:rsidR="00BD0A48" w:rsidRPr="00BB50C3" w:rsidRDefault="00BD0A48" w:rsidP="001F3594">
            <w:pPr>
              <w:jc w:val="center"/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>Inpatient Surge Components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5B622529" w14:textId="77777777" w:rsidR="00BD0A48" w:rsidRPr="00BB50C3" w:rsidRDefault="00BD0A48" w:rsidP="001F3594">
            <w:pPr>
              <w:jc w:val="center"/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>Green (normal) Range</w:t>
            </w:r>
          </w:p>
        </w:tc>
        <w:tc>
          <w:tcPr>
            <w:tcW w:w="1867" w:type="dxa"/>
            <w:shd w:val="clear" w:color="auto" w:fill="FFE599" w:themeFill="accent4" w:themeFillTint="66"/>
            <w:vAlign w:val="center"/>
          </w:tcPr>
          <w:p w14:paraId="5F388DA1" w14:textId="77777777" w:rsidR="00BD0A48" w:rsidRPr="00BB50C3" w:rsidRDefault="00BD0A48" w:rsidP="001F3594">
            <w:pPr>
              <w:jc w:val="center"/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>Yellow (elevated) Range</w:t>
            </w:r>
          </w:p>
        </w:tc>
        <w:tc>
          <w:tcPr>
            <w:tcW w:w="1620" w:type="dxa"/>
            <w:shd w:val="clear" w:color="auto" w:fill="F7CAAC" w:themeFill="accent2" w:themeFillTint="66"/>
            <w:vAlign w:val="center"/>
          </w:tcPr>
          <w:p w14:paraId="179E3D5F" w14:textId="77777777" w:rsidR="00BD0A48" w:rsidRPr="00BB50C3" w:rsidRDefault="00BD0A48" w:rsidP="001F3594">
            <w:pPr>
              <w:jc w:val="center"/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>Orange (significant) Range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AEAA"/>
            <w:vAlign w:val="center"/>
          </w:tcPr>
          <w:p w14:paraId="2CA51DDC" w14:textId="77777777" w:rsidR="00BD0A48" w:rsidRPr="00BB50C3" w:rsidRDefault="00BD0A48" w:rsidP="001F3594">
            <w:pPr>
              <w:jc w:val="center"/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>Red (critical) Range</w:t>
            </w:r>
          </w:p>
        </w:tc>
      </w:tr>
      <w:tr w:rsidR="00B36F59" w:rsidRPr="00BB50C3" w14:paraId="51804C65" w14:textId="77777777" w:rsidTr="001F3594">
        <w:tc>
          <w:tcPr>
            <w:tcW w:w="5688" w:type="dxa"/>
            <w:shd w:val="clear" w:color="auto" w:fill="auto"/>
            <w:vAlign w:val="center"/>
          </w:tcPr>
          <w:p w14:paraId="7BD3BDB8" w14:textId="11082547" w:rsidR="00B36F59" w:rsidRPr="000066FB" w:rsidRDefault="00B36F59" w:rsidP="00B36F5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 xml:space="preserve">Inpatient </w:t>
            </w:r>
            <w:r>
              <w:rPr>
                <w:b/>
                <w:bCs/>
                <w:sz w:val="20"/>
                <w:szCs w:val="21"/>
              </w:rPr>
              <w:t>Volume: Adult Medical-Surgical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222F3D" w14:textId="36097B8D" w:rsidR="00B36F59" w:rsidRPr="00BB50C3" w:rsidRDefault="00B36F59" w:rsidP="00B36F59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1.0</w:t>
            </w:r>
          </w:p>
        </w:tc>
        <w:tc>
          <w:tcPr>
            <w:tcW w:w="1867" w:type="dxa"/>
            <w:shd w:val="clear" w:color="auto" w:fill="FFF2CC" w:themeFill="accent4" w:themeFillTint="33"/>
            <w:vAlign w:val="center"/>
          </w:tcPr>
          <w:p w14:paraId="0B7AE026" w14:textId="338DFDA0" w:rsidR="00B36F59" w:rsidRPr="00BB50C3" w:rsidRDefault="00B36F59" w:rsidP="00B36F59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2.0</w:t>
            </w: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14:paraId="03F5D2FF" w14:textId="7CDC076C" w:rsidR="00B36F59" w:rsidRPr="00BB50C3" w:rsidRDefault="00B36F59" w:rsidP="00B36F59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3.0</w:t>
            </w:r>
          </w:p>
        </w:tc>
        <w:tc>
          <w:tcPr>
            <w:tcW w:w="1620" w:type="dxa"/>
            <w:shd w:val="clear" w:color="auto" w:fill="FFD1D2"/>
            <w:vAlign w:val="center"/>
          </w:tcPr>
          <w:p w14:paraId="08AC352A" w14:textId="7A25C8E2" w:rsidR="00B36F59" w:rsidRPr="00BB50C3" w:rsidRDefault="00B36F59" w:rsidP="00B36F59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4.0</w:t>
            </w:r>
          </w:p>
        </w:tc>
      </w:tr>
      <w:tr w:rsidR="00B36F59" w:rsidRPr="00BB50C3" w14:paraId="247993D6" w14:textId="77777777" w:rsidTr="00351D0F">
        <w:tc>
          <w:tcPr>
            <w:tcW w:w="5688" w:type="dxa"/>
            <w:shd w:val="clear" w:color="auto" w:fill="auto"/>
            <w:vAlign w:val="center"/>
          </w:tcPr>
          <w:p w14:paraId="08544B02" w14:textId="3DCAA2DB" w:rsidR="00B36F59" w:rsidRPr="000066FB" w:rsidRDefault="00B36F59" w:rsidP="00B36F5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 xml:space="preserve">Inpatient Volume: </w:t>
            </w:r>
            <w:r>
              <w:rPr>
                <w:b/>
                <w:bCs/>
                <w:sz w:val="20"/>
                <w:szCs w:val="21"/>
              </w:rPr>
              <w:t xml:space="preserve">Adult </w:t>
            </w:r>
            <w:r w:rsidRPr="00BB50C3">
              <w:rPr>
                <w:b/>
                <w:bCs/>
                <w:sz w:val="20"/>
                <w:szCs w:val="21"/>
              </w:rPr>
              <w:t>Critical Care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CE4C8B" w14:textId="7342DD37" w:rsidR="00B36F59" w:rsidRPr="00BB50C3" w:rsidRDefault="00B36F59" w:rsidP="00B36F59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1.0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14:paraId="195B288C" w14:textId="59CFFA93" w:rsidR="00B36F59" w:rsidRPr="00BB50C3" w:rsidRDefault="00B36F59" w:rsidP="00B36F59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2.0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592F313D" w14:textId="3BABB02F" w:rsidR="00B36F59" w:rsidRPr="00BB50C3" w:rsidRDefault="00B36F59" w:rsidP="00B36F59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3.0</w:t>
            </w:r>
          </w:p>
        </w:tc>
        <w:tc>
          <w:tcPr>
            <w:tcW w:w="1620" w:type="dxa"/>
            <w:shd w:val="clear" w:color="auto" w:fill="FFD1D2"/>
          </w:tcPr>
          <w:p w14:paraId="0280DBB6" w14:textId="5121399E" w:rsidR="00B36F59" w:rsidRPr="00BB50C3" w:rsidRDefault="00B36F59" w:rsidP="00B36F59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4.0</w:t>
            </w:r>
          </w:p>
        </w:tc>
      </w:tr>
      <w:tr w:rsidR="00B36F59" w:rsidRPr="00BB50C3" w14:paraId="4AE0D89E" w14:textId="77777777" w:rsidTr="00351D0F">
        <w:tc>
          <w:tcPr>
            <w:tcW w:w="5688" w:type="dxa"/>
            <w:shd w:val="clear" w:color="auto" w:fill="auto"/>
            <w:vAlign w:val="center"/>
          </w:tcPr>
          <w:p w14:paraId="31C326D2" w14:textId="2AAB322F" w:rsidR="00B36F59" w:rsidRPr="000066FB" w:rsidRDefault="00B36F59" w:rsidP="0065037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1"/>
              </w:rPr>
            </w:pPr>
            <w:r w:rsidRPr="00BB50C3">
              <w:rPr>
                <w:b/>
                <w:bCs/>
                <w:sz w:val="20"/>
                <w:szCs w:val="21"/>
              </w:rPr>
              <w:t xml:space="preserve">Volume of Intubated </w:t>
            </w:r>
            <w:r w:rsidR="0065037C">
              <w:rPr>
                <w:b/>
                <w:bCs/>
                <w:sz w:val="20"/>
                <w:szCs w:val="21"/>
              </w:rPr>
              <w:t>Adult Patients in Critical Care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26B51D48" w14:textId="255BD8A7" w:rsidR="00B36F59" w:rsidRPr="00BB50C3" w:rsidRDefault="00B36F59" w:rsidP="00B36F59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1.0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14:paraId="0D312894" w14:textId="5F0B6630" w:rsidR="00B36F59" w:rsidRPr="00BB50C3" w:rsidRDefault="00B36F59" w:rsidP="00B36F59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2.0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31EE6BF1" w14:textId="14501045" w:rsidR="00B36F59" w:rsidRPr="00BB50C3" w:rsidRDefault="00B36F59" w:rsidP="00B36F59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3.0</w:t>
            </w:r>
          </w:p>
        </w:tc>
        <w:tc>
          <w:tcPr>
            <w:tcW w:w="1620" w:type="dxa"/>
            <w:shd w:val="clear" w:color="auto" w:fill="FFD1D2"/>
          </w:tcPr>
          <w:p w14:paraId="22AFBC8B" w14:textId="60632D3B" w:rsidR="00B36F59" w:rsidRPr="00BB50C3" w:rsidRDefault="00B36F59" w:rsidP="00B36F59">
            <w:pPr>
              <w:jc w:val="center"/>
              <w:rPr>
                <w:sz w:val="20"/>
                <w:szCs w:val="21"/>
              </w:rPr>
            </w:pPr>
            <w:r w:rsidRPr="00BB50C3">
              <w:rPr>
                <w:sz w:val="20"/>
                <w:szCs w:val="21"/>
              </w:rPr>
              <w:t>4.0</w:t>
            </w:r>
          </w:p>
        </w:tc>
      </w:tr>
    </w:tbl>
    <w:p w14:paraId="2EE3011D" w14:textId="34B7F5B0" w:rsidR="00BD0A48" w:rsidRDefault="00BD0A48" w:rsidP="00BD0A48">
      <w:pPr>
        <w:rPr>
          <w:sz w:val="8"/>
        </w:rPr>
      </w:pPr>
    </w:p>
    <w:p w14:paraId="46458319" w14:textId="161F47BC" w:rsidR="00B36F59" w:rsidRPr="00B36F59" w:rsidRDefault="00B36F59" w:rsidP="00B36F59">
      <w:pPr>
        <w:rPr>
          <w:sz w:val="21"/>
          <w:szCs w:val="56"/>
        </w:rPr>
      </w:pPr>
      <w:r>
        <w:rPr>
          <w:noProof/>
          <w:sz w:val="21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03103" wp14:editId="55D11E02">
                <wp:simplePos x="0" y="0"/>
                <wp:positionH relativeFrom="column">
                  <wp:posOffset>7186332</wp:posOffset>
                </wp:positionH>
                <wp:positionV relativeFrom="paragraph">
                  <wp:posOffset>177165</wp:posOffset>
                </wp:positionV>
                <wp:extent cx="673100" cy="266700"/>
                <wp:effectExtent l="12700" t="1270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14EA0" w14:textId="77777777" w:rsidR="00B36F59" w:rsidRDefault="00B36F59" w:rsidP="00B36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8803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5.85pt;margin-top:13.95pt;width:53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" fillcolor="white [3201]" strokeweight="1.75pt">
                <v:textbox>
                  <w:txbxContent>
                    <w:p w14:paraId="13714EA0" w14:textId="77777777" w:rsidR="00B36F59" w:rsidRDefault="00B36F59" w:rsidP="00B36F59"/>
                  </w:txbxContent>
                </v:textbox>
              </v:shape>
            </w:pict>
          </mc:Fallback>
        </mc:AlternateContent>
      </w:r>
      <w:r w:rsidRPr="00B36F59">
        <w:rPr>
          <w:sz w:val="21"/>
          <w:szCs w:val="56"/>
        </w:rPr>
        <w:t>The</w:t>
      </w:r>
      <w:r w:rsidR="0013341B">
        <w:rPr>
          <w:sz w:val="21"/>
          <w:szCs w:val="56"/>
        </w:rPr>
        <w:t>n</w:t>
      </w:r>
      <w:r w:rsidRPr="00B36F59">
        <w:rPr>
          <w:sz w:val="21"/>
          <w:szCs w:val="56"/>
        </w:rPr>
        <w:t xml:space="preserve"> add the three values together, average them</w:t>
      </w:r>
      <w:r w:rsidR="0013341B">
        <w:rPr>
          <w:sz w:val="21"/>
          <w:szCs w:val="56"/>
        </w:rPr>
        <w:t>,</w:t>
      </w:r>
      <w:r w:rsidRPr="00B36F59">
        <w:rPr>
          <w:sz w:val="21"/>
          <w:szCs w:val="56"/>
        </w:rPr>
        <w:t xml:space="preserve"> and multiply by 0.</w:t>
      </w:r>
      <w:r>
        <w:rPr>
          <w:sz w:val="21"/>
          <w:szCs w:val="56"/>
        </w:rPr>
        <w:t>6</w:t>
      </w:r>
      <w:r w:rsidRPr="00B36F59">
        <w:rPr>
          <w:sz w:val="21"/>
          <w:szCs w:val="56"/>
        </w:rPr>
        <w:t>.</w:t>
      </w:r>
    </w:p>
    <w:p w14:paraId="425138C0" w14:textId="0766C2AD" w:rsidR="008B5229" w:rsidRDefault="00B36F59" w:rsidP="00B36F59">
      <w:pPr>
        <w:rPr>
          <w:sz w:val="21"/>
          <w:szCs w:val="56"/>
        </w:rPr>
      </w:pPr>
      <w:r>
        <w:rPr>
          <w:sz w:val="21"/>
          <w:szCs w:val="56"/>
        </w:rPr>
        <w:t>Adult Med-Surg</w:t>
      </w:r>
      <w:r w:rsidRPr="00B36F59">
        <w:rPr>
          <w:sz w:val="21"/>
          <w:szCs w:val="56"/>
        </w:rPr>
        <w:t xml:space="preserve"> </w:t>
      </w:r>
      <w:r>
        <w:rPr>
          <w:sz w:val="21"/>
          <w:szCs w:val="56"/>
        </w:rPr>
        <w:t>Value</w:t>
      </w:r>
      <w:r w:rsidRPr="00B36F59">
        <w:rPr>
          <w:sz w:val="21"/>
          <w:szCs w:val="56"/>
        </w:rPr>
        <w:t xml:space="preserve"> </w:t>
      </w:r>
      <w:r>
        <w:rPr>
          <w:sz w:val="21"/>
          <w:szCs w:val="56"/>
        </w:rPr>
        <w:t xml:space="preserve"> </w:t>
      </w:r>
      <w:r w:rsidR="008B5229">
        <w:rPr>
          <w:sz w:val="21"/>
          <w:szCs w:val="56"/>
        </w:rPr>
        <w:t xml:space="preserve"> </w:t>
      </w:r>
      <w:r w:rsidRPr="00B36F59">
        <w:rPr>
          <w:sz w:val="21"/>
          <w:szCs w:val="56"/>
        </w:rPr>
        <w:t xml:space="preserve">____ + </w:t>
      </w:r>
      <w:r>
        <w:rPr>
          <w:sz w:val="21"/>
          <w:szCs w:val="56"/>
        </w:rPr>
        <w:t xml:space="preserve">Adult Critical Care Value </w:t>
      </w:r>
      <w:r w:rsidRPr="00B36F59">
        <w:rPr>
          <w:sz w:val="21"/>
          <w:szCs w:val="56"/>
        </w:rPr>
        <w:t xml:space="preserve"> </w:t>
      </w:r>
      <w:r w:rsidR="008B5229">
        <w:rPr>
          <w:sz w:val="21"/>
          <w:szCs w:val="56"/>
        </w:rPr>
        <w:t xml:space="preserve"> </w:t>
      </w:r>
      <w:r w:rsidRPr="00B36F59">
        <w:rPr>
          <w:sz w:val="21"/>
          <w:szCs w:val="56"/>
        </w:rPr>
        <w:t xml:space="preserve">_____ + Intubated Patients </w:t>
      </w:r>
      <w:r>
        <w:rPr>
          <w:sz w:val="21"/>
          <w:szCs w:val="56"/>
        </w:rPr>
        <w:t xml:space="preserve">ICU Value </w:t>
      </w:r>
      <w:r w:rsidRPr="00B36F59">
        <w:rPr>
          <w:sz w:val="21"/>
          <w:szCs w:val="56"/>
        </w:rPr>
        <w:t xml:space="preserve"> </w:t>
      </w:r>
      <w:r w:rsidR="008B5229">
        <w:rPr>
          <w:sz w:val="21"/>
          <w:szCs w:val="56"/>
        </w:rPr>
        <w:t xml:space="preserve"> </w:t>
      </w:r>
      <w:r w:rsidRPr="00B36F59">
        <w:rPr>
          <w:sz w:val="21"/>
          <w:szCs w:val="56"/>
        </w:rPr>
        <w:t>_____ = ______ /3 = ______ x 0.</w:t>
      </w:r>
      <w:r>
        <w:rPr>
          <w:sz w:val="21"/>
          <w:szCs w:val="56"/>
        </w:rPr>
        <w:t>6</w:t>
      </w:r>
      <w:r w:rsidRPr="00B36F59">
        <w:rPr>
          <w:sz w:val="21"/>
          <w:szCs w:val="56"/>
        </w:rPr>
        <w:t xml:space="preserve"> =</w:t>
      </w:r>
    </w:p>
    <w:p w14:paraId="73C34247" w14:textId="3E964ABA" w:rsidR="00B36F59" w:rsidRPr="008B5229" w:rsidRDefault="008B5229" w:rsidP="00B36F59">
      <w:pPr>
        <w:rPr>
          <w:sz w:val="10"/>
          <w:szCs w:val="10"/>
        </w:rPr>
      </w:pPr>
      <w:r>
        <w:rPr>
          <w:noProof/>
          <w:sz w:val="21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E889E" wp14:editId="3894CE2C">
                <wp:simplePos x="0" y="0"/>
                <wp:positionH relativeFrom="column">
                  <wp:posOffset>5175250</wp:posOffset>
                </wp:positionH>
                <wp:positionV relativeFrom="paragraph">
                  <wp:posOffset>76200</wp:posOffset>
                </wp:positionV>
                <wp:extent cx="673100" cy="266700"/>
                <wp:effectExtent l="12700" t="1270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2A565" w14:textId="77777777" w:rsidR="008B5229" w:rsidRDefault="008B5229" w:rsidP="008B5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DE889E" id="Text Box 3" o:spid="_x0000_s1028" type="#_x0000_t202" style="position:absolute;margin-left:407.5pt;margin-top:6pt;width:53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" fillcolor="white [3201]" strokeweight="1.75pt">
                <v:textbox>
                  <w:txbxContent>
                    <w:p w14:paraId="0C12A565" w14:textId="77777777" w:rsidR="008B5229" w:rsidRDefault="008B5229" w:rsidP="008B5229"/>
                  </w:txbxContent>
                </v:textbox>
              </v:shape>
            </w:pict>
          </mc:Fallback>
        </mc:AlternateContent>
      </w:r>
      <w:r w:rsidR="00B36F59" w:rsidRPr="00B36F59">
        <w:rPr>
          <w:sz w:val="21"/>
          <w:szCs w:val="56"/>
        </w:rPr>
        <w:t xml:space="preserve"> </w:t>
      </w:r>
    </w:p>
    <w:p w14:paraId="105920A1" w14:textId="112F3880" w:rsidR="00B36F59" w:rsidRPr="00B36F59" w:rsidRDefault="00B36F59" w:rsidP="00B36F5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Add </w:t>
      </w:r>
      <w:r w:rsidR="008B5229">
        <w:rPr>
          <w:sz w:val="20"/>
          <w:szCs w:val="20"/>
        </w:rPr>
        <w:t xml:space="preserve">ED Components Value _______ + Inpatient Components Value _______ = Final Value </w:t>
      </w:r>
    </w:p>
    <w:p w14:paraId="4493F40F" w14:textId="77777777" w:rsidR="008B5229" w:rsidRPr="008B5229" w:rsidRDefault="008B5229" w:rsidP="00BD0A48">
      <w:pPr>
        <w:rPr>
          <w:b/>
          <w:bCs/>
          <w:i/>
          <w:iCs/>
          <w:sz w:val="6"/>
          <w:szCs w:val="10"/>
        </w:rPr>
      </w:pPr>
    </w:p>
    <w:p w14:paraId="47EBEE75" w14:textId="1CBAC7E9" w:rsidR="000066FB" w:rsidRPr="000066FB" w:rsidRDefault="000066FB" w:rsidP="00BD0A48">
      <w:pPr>
        <w:rPr>
          <w:b/>
          <w:bCs/>
          <w:i/>
          <w:iCs/>
          <w:sz w:val="20"/>
        </w:rPr>
      </w:pPr>
      <w:r w:rsidRPr="000066FB">
        <w:rPr>
          <w:b/>
          <w:bCs/>
          <w:i/>
          <w:iCs/>
          <w:sz w:val="20"/>
        </w:rPr>
        <w:t>Step 3:</w:t>
      </w:r>
    </w:p>
    <w:p w14:paraId="20E2540A" w14:textId="04B8ABE1" w:rsidR="00BD0A48" w:rsidRPr="00BB50C3" w:rsidRDefault="00BD0A48" w:rsidP="00BD0A48">
      <w:pPr>
        <w:rPr>
          <w:sz w:val="20"/>
        </w:rPr>
      </w:pPr>
      <w:r w:rsidRPr="00BB50C3">
        <w:rPr>
          <w:sz w:val="20"/>
        </w:rPr>
        <w:t xml:space="preserve">Refer to </w:t>
      </w:r>
      <w:r w:rsidR="0013341B">
        <w:rPr>
          <w:sz w:val="20"/>
        </w:rPr>
        <w:t xml:space="preserve">the </w:t>
      </w:r>
      <w:r w:rsidRPr="00BB50C3">
        <w:rPr>
          <w:sz w:val="20"/>
        </w:rPr>
        <w:t xml:space="preserve">chart below to select the </w:t>
      </w:r>
      <w:r w:rsidR="0013341B">
        <w:rPr>
          <w:sz w:val="20"/>
        </w:rPr>
        <w:t xml:space="preserve">facility’s </w:t>
      </w:r>
      <w:r w:rsidRPr="00BB50C3">
        <w:rPr>
          <w:sz w:val="20"/>
        </w:rPr>
        <w:t>overall hospital surge indicator: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710"/>
      </w:tblGrid>
      <w:tr w:rsidR="00BD0A48" w:rsidRPr="00BB50C3" w14:paraId="03659524" w14:textId="77777777" w:rsidTr="001F3594">
        <w:tc>
          <w:tcPr>
            <w:tcW w:w="1548" w:type="dxa"/>
          </w:tcPr>
          <w:p w14:paraId="25BEB4DD" w14:textId="77777777" w:rsidR="00BD0A48" w:rsidRPr="00BB50C3" w:rsidRDefault="00BD0A48" w:rsidP="001F3594">
            <w:pPr>
              <w:rPr>
                <w:b/>
                <w:i/>
                <w:sz w:val="20"/>
              </w:rPr>
            </w:pPr>
            <w:r w:rsidRPr="00BB50C3">
              <w:rPr>
                <w:b/>
                <w:i/>
                <w:sz w:val="20"/>
              </w:rPr>
              <w:t>Value Range</w:t>
            </w:r>
          </w:p>
        </w:tc>
        <w:tc>
          <w:tcPr>
            <w:tcW w:w="1710" w:type="dxa"/>
          </w:tcPr>
          <w:p w14:paraId="202D42BA" w14:textId="77777777" w:rsidR="00BD0A48" w:rsidRPr="00BB50C3" w:rsidRDefault="00BD0A48" w:rsidP="001F3594">
            <w:pPr>
              <w:rPr>
                <w:b/>
                <w:i/>
                <w:sz w:val="20"/>
              </w:rPr>
            </w:pPr>
            <w:r w:rsidRPr="00BB50C3">
              <w:rPr>
                <w:b/>
                <w:i/>
                <w:sz w:val="20"/>
              </w:rPr>
              <w:t>Color</w:t>
            </w:r>
          </w:p>
        </w:tc>
      </w:tr>
      <w:tr w:rsidR="00BD0A48" w:rsidRPr="00BB50C3" w14:paraId="727032CE" w14:textId="77777777" w:rsidTr="001F3594">
        <w:tc>
          <w:tcPr>
            <w:tcW w:w="1548" w:type="dxa"/>
          </w:tcPr>
          <w:p w14:paraId="6B174910" w14:textId="62A212DF" w:rsidR="00BD0A48" w:rsidRPr="00BB50C3" w:rsidRDefault="00BD0A48" w:rsidP="001F3594">
            <w:pPr>
              <w:rPr>
                <w:sz w:val="20"/>
              </w:rPr>
            </w:pPr>
            <w:r w:rsidRPr="00BB50C3">
              <w:rPr>
                <w:sz w:val="20"/>
              </w:rPr>
              <w:t xml:space="preserve">1.0 </w:t>
            </w:r>
            <w:r w:rsidR="001377F2">
              <w:rPr>
                <w:sz w:val="20"/>
              </w:rPr>
              <w:t xml:space="preserve"> to &lt;1.75</w:t>
            </w:r>
          </w:p>
        </w:tc>
        <w:tc>
          <w:tcPr>
            <w:tcW w:w="1710" w:type="dxa"/>
          </w:tcPr>
          <w:p w14:paraId="775AD37C" w14:textId="77777777" w:rsidR="00BD0A48" w:rsidRPr="00BB50C3" w:rsidRDefault="00BD0A48" w:rsidP="001F3594">
            <w:pPr>
              <w:rPr>
                <w:b/>
                <w:color w:val="008000"/>
                <w:sz w:val="20"/>
              </w:rPr>
            </w:pPr>
            <w:r w:rsidRPr="00BB50C3">
              <w:rPr>
                <w:b/>
                <w:color w:val="008000"/>
                <w:sz w:val="20"/>
              </w:rPr>
              <w:t>Green</w:t>
            </w:r>
          </w:p>
        </w:tc>
      </w:tr>
      <w:tr w:rsidR="00BD0A48" w:rsidRPr="00BB50C3" w14:paraId="38EA3910" w14:textId="77777777" w:rsidTr="001F3594">
        <w:tc>
          <w:tcPr>
            <w:tcW w:w="1548" w:type="dxa"/>
          </w:tcPr>
          <w:p w14:paraId="555A054A" w14:textId="68EF5D86" w:rsidR="00BD0A48" w:rsidRPr="00BB50C3" w:rsidRDefault="001377F2" w:rsidP="001F3594">
            <w:pPr>
              <w:rPr>
                <w:sz w:val="20"/>
              </w:rPr>
            </w:pPr>
            <w:r>
              <w:rPr>
                <w:sz w:val="20"/>
              </w:rPr>
              <w:t>1.75 to &lt;2.5</w:t>
            </w:r>
          </w:p>
        </w:tc>
        <w:tc>
          <w:tcPr>
            <w:tcW w:w="1710" w:type="dxa"/>
          </w:tcPr>
          <w:p w14:paraId="7989DCD8" w14:textId="77777777" w:rsidR="00BD0A48" w:rsidRPr="001377F2" w:rsidRDefault="00BD0A48" w:rsidP="001F3594">
            <w:pPr>
              <w:rPr>
                <w:b/>
                <w:color w:val="BF8F00" w:themeColor="accent4" w:themeShade="BF"/>
                <w:sz w:val="20"/>
              </w:rPr>
            </w:pPr>
            <w:r w:rsidRPr="001377F2">
              <w:rPr>
                <w:b/>
                <w:color w:val="BF8F00" w:themeColor="accent4" w:themeShade="BF"/>
                <w:sz w:val="20"/>
              </w:rPr>
              <w:t>Yellow</w:t>
            </w:r>
          </w:p>
        </w:tc>
      </w:tr>
      <w:tr w:rsidR="00BD0A48" w:rsidRPr="00BB50C3" w14:paraId="11CD7150" w14:textId="77777777" w:rsidTr="001F3594">
        <w:tc>
          <w:tcPr>
            <w:tcW w:w="1548" w:type="dxa"/>
          </w:tcPr>
          <w:p w14:paraId="0C9BF88D" w14:textId="6F9DB248" w:rsidR="00BD0A48" w:rsidRPr="00BB50C3" w:rsidRDefault="001377F2" w:rsidP="001F3594">
            <w:pPr>
              <w:rPr>
                <w:sz w:val="20"/>
              </w:rPr>
            </w:pPr>
            <w:r>
              <w:rPr>
                <w:sz w:val="20"/>
              </w:rPr>
              <w:t>2.5 to &lt;3.25</w:t>
            </w:r>
          </w:p>
        </w:tc>
        <w:tc>
          <w:tcPr>
            <w:tcW w:w="1710" w:type="dxa"/>
          </w:tcPr>
          <w:p w14:paraId="569AF59D" w14:textId="77777777" w:rsidR="00BD0A48" w:rsidRPr="00BB50C3" w:rsidRDefault="00BD0A48" w:rsidP="001F3594">
            <w:pPr>
              <w:rPr>
                <w:b/>
                <w:color w:val="FF6600"/>
                <w:sz w:val="20"/>
              </w:rPr>
            </w:pPr>
            <w:r w:rsidRPr="00BB50C3">
              <w:rPr>
                <w:b/>
                <w:color w:val="FF6600"/>
                <w:sz w:val="20"/>
              </w:rPr>
              <w:t>Orange</w:t>
            </w:r>
          </w:p>
        </w:tc>
      </w:tr>
      <w:tr w:rsidR="00BD0A48" w:rsidRPr="00BB50C3" w14:paraId="76AFAEBE" w14:textId="77777777" w:rsidTr="001F3594">
        <w:tc>
          <w:tcPr>
            <w:tcW w:w="1548" w:type="dxa"/>
          </w:tcPr>
          <w:p w14:paraId="1180C569" w14:textId="0DAC9A6F" w:rsidR="00BD0A48" w:rsidRPr="00BB50C3" w:rsidRDefault="001377F2" w:rsidP="001F3594">
            <w:pPr>
              <w:rPr>
                <w:sz w:val="20"/>
              </w:rPr>
            </w:pPr>
            <w:r>
              <w:rPr>
                <w:sz w:val="20"/>
              </w:rPr>
              <w:t>3.25 to 4.0</w:t>
            </w:r>
          </w:p>
        </w:tc>
        <w:tc>
          <w:tcPr>
            <w:tcW w:w="1710" w:type="dxa"/>
          </w:tcPr>
          <w:p w14:paraId="1421FB3A" w14:textId="77777777" w:rsidR="00BD0A48" w:rsidRPr="00BB50C3" w:rsidRDefault="00BD0A48" w:rsidP="001F3594">
            <w:pPr>
              <w:rPr>
                <w:b/>
                <w:color w:val="FF0000"/>
                <w:sz w:val="20"/>
              </w:rPr>
            </w:pPr>
            <w:r w:rsidRPr="00BB50C3">
              <w:rPr>
                <w:b/>
                <w:color w:val="FF0000"/>
                <w:sz w:val="20"/>
              </w:rPr>
              <w:t>Red</w:t>
            </w:r>
          </w:p>
        </w:tc>
      </w:tr>
    </w:tbl>
    <w:p w14:paraId="4CCFA496" w14:textId="77777777" w:rsidR="00BD0A48" w:rsidRPr="00BB50C3" w:rsidRDefault="00BD0A48" w:rsidP="00BD0A48">
      <w:pPr>
        <w:pStyle w:val="ListParagraph"/>
        <w:rPr>
          <w:sz w:val="14"/>
          <w:szCs w:val="16"/>
        </w:rPr>
      </w:pPr>
    </w:p>
    <w:p w14:paraId="05603C33" w14:textId="7EBAE2DA" w:rsidR="001377F2" w:rsidRPr="008B5229" w:rsidRDefault="00BD0A48">
      <w:pPr>
        <w:rPr>
          <w:sz w:val="21"/>
          <w:szCs w:val="21"/>
        </w:rPr>
      </w:pPr>
      <w:r w:rsidRPr="000066FB">
        <w:rPr>
          <w:sz w:val="21"/>
          <w:szCs w:val="21"/>
        </w:rPr>
        <w:t xml:space="preserve">The </w:t>
      </w:r>
      <w:r w:rsidR="0013341B">
        <w:rPr>
          <w:sz w:val="21"/>
          <w:szCs w:val="21"/>
        </w:rPr>
        <w:t>h</w:t>
      </w:r>
      <w:r w:rsidR="0013341B" w:rsidRPr="000066FB">
        <w:rPr>
          <w:sz w:val="21"/>
          <w:szCs w:val="21"/>
        </w:rPr>
        <w:t xml:space="preserve">ospital </w:t>
      </w:r>
      <w:r w:rsidR="0013341B">
        <w:rPr>
          <w:sz w:val="21"/>
          <w:szCs w:val="21"/>
        </w:rPr>
        <w:t>s</w:t>
      </w:r>
      <w:r w:rsidR="0013341B" w:rsidRPr="000066FB">
        <w:rPr>
          <w:sz w:val="21"/>
          <w:szCs w:val="21"/>
        </w:rPr>
        <w:t xml:space="preserve">urge </w:t>
      </w:r>
      <w:r w:rsidR="0013341B">
        <w:rPr>
          <w:sz w:val="21"/>
          <w:szCs w:val="21"/>
        </w:rPr>
        <w:t>i</w:t>
      </w:r>
      <w:r w:rsidR="0013341B" w:rsidRPr="000066FB">
        <w:rPr>
          <w:sz w:val="21"/>
          <w:szCs w:val="21"/>
        </w:rPr>
        <w:t xml:space="preserve">ndicator </w:t>
      </w:r>
      <w:r w:rsidR="0013341B">
        <w:rPr>
          <w:sz w:val="21"/>
          <w:szCs w:val="21"/>
        </w:rPr>
        <w:t>v</w:t>
      </w:r>
      <w:r w:rsidRPr="000066FB">
        <w:rPr>
          <w:sz w:val="21"/>
          <w:szCs w:val="21"/>
        </w:rPr>
        <w:t xml:space="preserve">alue should now be entered into the GNYHA Sit Stat 2.0 </w:t>
      </w:r>
      <w:r w:rsidR="0013341B">
        <w:rPr>
          <w:sz w:val="21"/>
          <w:szCs w:val="21"/>
        </w:rPr>
        <w:t>s</w:t>
      </w:r>
      <w:r w:rsidRPr="000066FB">
        <w:rPr>
          <w:sz w:val="21"/>
          <w:szCs w:val="21"/>
        </w:rPr>
        <w:t>ystem.</w:t>
      </w:r>
    </w:p>
    <w:sectPr w:rsidR="001377F2" w:rsidRPr="008B5229" w:rsidSect="00BC1AB3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48"/>
    <w:multiLevelType w:val="hybridMultilevel"/>
    <w:tmpl w:val="4168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6872"/>
    <w:multiLevelType w:val="hybridMultilevel"/>
    <w:tmpl w:val="1A348524"/>
    <w:lvl w:ilvl="0" w:tplc="920A30A2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6DB"/>
    <w:multiLevelType w:val="hybridMultilevel"/>
    <w:tmpl w:val="F2707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3A8A"/>
    <w:multiLevelType w:val="hybridMultilevel"/>
    <w:tmpl w:val="CB54E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638D"/>
    <w:multiLevelType w:val="hybridMultilevel"/>
    <w:tmpl w:val="FB9E8DCC"/>
    <w:lvl w:ilvl="0" w:tplc="2AB4BCD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6110A"/>
    <w:multiLevelType w:val="hybridMultilevel"/>
    <w:tmpl w:val="F2707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2287F"/>
    <w:multiLevelType w:val="hybridMultilevel"/>
    <w:tmpl w:val="F2707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 Lieber">
    <w15:presenceInfo w15:providerId="Windows Live" w15:userId="36bf2a55243ce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AE"/>
    <w:rsid w:val="000066FB"/>
    <w:rsid w:val="000163D1"/>
    <w:rsid w:val="000472F3"/>
    <w:rsid w:val="00057074"/>
    <w:rsid w:val="000A1ECF"/>
    <w:rsid w:val="000D2658"/>
    <w:rsid w:val="0013341B"/>
    <w:rsid w:val="001377F2"/>
    <w:rsid w:val="00157D7A"/>
    <w:rsid w:val="001D0B15"/>
    <w:rsid w:val="001D5B79"/>
    <w:rsid w:val="002F40CE"/>
    <w:rsid w:val="00415F7A"/>
    <w:rsid w:val="004371E7"/>
    <w:rsid w:val="004418B4"/>
    <w:rsid w:val="00471C80"/>
    <w:rsid w:val="00564A46"/>
    <w:rsid w:val="00624D2C"/>
    <w:rsid w:val="0065037C"/>
    <w:rsid w:val="006A3575"/>
    <w:rsid w:val="008915FF"/>
    <w:rsid w:val="008A11AF"/>
    <w:rsid w:val="008B5229"/>
    <w:rsid w:val="008B55CF"/>
    <w:rsid w:val="008F1446"/>
    <w:rsid w:val="00A47A17"/>
    <w:rsid w:val="00B36F59"/>
    <w:rsid w:val="00B42E6C"/>
    <w:rsid w:val="00BB4DFC"/>
    <w:rsid w:val="00BC1AB3"/>
    <w:rsid w:val="00BD0A48"/>
    <w:rsid w:val="00C32D94"/>
    <w:rsid w:val="00C7043B"/>
    <w:rsid w:val="00D11F29"/>
    <w:rsid w:val="00D677AE"/>
    <w:rsid w:val="00DC3473"/>
    <w:rsid w:val="00DD3CCF"/>
    <w:rsid w:val="00EB735D"/>
    <w:rsid w:val="00F054C6"/>
    <w:rsid w:val="00F2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8C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AE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D677A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D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58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1377F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AE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D677A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D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58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137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781</Words>
  <Characters>4452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Mandel-Ricci, Jenna</dc:creator>
  <cp:keywords/>
  <dc:description/>
  <cp:lastModifiedBy>Jenna Mandel-Ricci</cp:lastModifiedBy>
  <cp:revision>4</cp:revision>
  <dcterms:created xsi:type="dcterms:W3CDTF">2020-11-18T19:28:00Z</dcterms:created>
  <dcterms:modified xsi:type="dcterms:W3CDTF">2020-11-18T19:33:00Z</dcterms:modified>
</cp:coreProperties>
</file>