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CACBF" w14:textId="77777777" w:rsidR="003716B2" w:rsidRDefault="00687927" w:rsidP="00687927">
      <w:pPr>
        <w:pStyle w:val="Heading1"/>
      </w:pPr>
      <w:r>
        <w:t>Talking Points for Press Inquiries on Hospital Charges</w:t>
      </w:r>
    </w:p>
    <w:p w14:paraId="430BD934" w14:textId="77777777" w:rsidR="00C4046A" w:rsidRDefault="00C4046A" w:rsidP="00C4046A"/>
    <w:p w14:paraId="3898741C" w14:textId="77777777" w:rsidR="00687927" w:rsidRPr="00687927" w:rsidRDefault="00687927" w:rsidP="00687927">
      <w:pPr>
        <w:ind w:left="360" w:hanging="360"/>
        <w:rPr>
          <w:color w:val="4179BD" w:themeColor="accent1"/>
        </w:rPr>
      </w:pPr>
      <w:r w:rsidRPr="00687927">
        <w:rPr>
          <w:color w:val="4179BD" w:themeColor="accent1"/>
        </w:rPr>
        <w:t>Q:</w:t>
      </w:r>
      <w:r w:rsidRPr="00687927">
        <w:rPr>
          <w:color w:val="4179BD" w:themeColor="accent1"/>
        </w:rPr>
        <w:tab/>
        <w:t>What is a hospital chargemaster?</w:t>
      </w:r>
    </w:p>
    <w:p w14:paraId="4BAB364E" w14:textId="77777777" w:rsidR="00687927" w:rsidRDefault="00687927" w:rsidP="00687927">
      <w:pPr>
        <w:ind w:left="360" w:hanging="360"/>
      </w:pPr>
      <w:r>
        <w:t>A:</w:t>
      </w:r>
      <w:r>
        <w:tab/>
        <w:t>The chargemaster is the comprehensive standard price list for the full range of services a hospital provides (medical procedures, lab tests, supplies, medications, etc.). There are thousands of items listed. The charges listed are generally not the amount a patient will pay.</w:t>
      </w:r>
    </w:p>
    <w:p w14:paraId="024F29E7" w14:textId="77777777" w:rsidR="00687927" w:rsidRDefault="00687927" w:rsidP="00687927">
      <w:pPr>
        <w:ind w:left="360" w:hanging="360"/>
      </w:pPr>
    </w:p>
    <w:p w14:paraId="3207350C" w14:textId="77777777" w:rsidR="00687927" w:rsidRPr="00687927" w:rsidRDefault="00687927" w:rsidP="00687927">
      <w:pPr>
        <w:ind w:left="360" w:hanging="360"/>
        <w:rPr>
          <w:color w:val="4179BD" w:themeColor="accent1"/>
        </w:rPr>
      </w:pPr>
      <w:r w:rsidRPr="00687927">
        <w:rPr>
          <w:color w:val="4179BD" w:themeColor="accent1"/>
        </w:rPr>
        <w:t>Q:</w:t>
      </w:r>
      <w:r w:rsidRPr="00687927">
        <w:rPr>
          <w:color w:val="4179BD" w:themeColor="accent1"/>
        </w:rPr>
        <w:tab/>
        <w:t>How does the hospital set its charges?</w:t>
      </w:r>
    </w:p>
    <w:p w14:paraId="598AD4B1" w14:textId="77777777" w:rsidR="00687927" w:rsidRDefault="00687927" w:rsidP="00687927">
      <w:pPr>
        <w:ind w:left="360" w:hanging="360"/>
      </w:pPr>
      <w:r>
        <w:t>A:</w:t>
      </w:r>
      <w:r>
        <w:tab/>
        <w:t>Hospitals set their standard charges for services and items based on internal metrics, including the cost to provide patient care, which varies between hospitals. Many factors influence variation in hospital costs, including a hospital’s location, the skill mix of its workforce, its teaching status, and its mission-related activities.</w:t>
      </w:r>
    </w:p>
    <w:p w14:paraId="3E0E7825" w14:textId="77777777" w:rsidR="00687927" w:rsidRDefault="00687927" w:rsidP="00687927">
      <w:pPr>
        <w:ind w:left="360" w:hanging="360"/>
      </w:pPr>
    </w:p>
    <w:p w14:paraId="4C240838" w14:textId="77777777" w:rsidR="00687927" w:rsidRDefault="00687927" w:rsidP="00687927">
      <w:pPr>
        <w:ind w:left="360"/>
      </w:pPr>
      <w:r>
        <w:t xml:space="preserve">Hospital charges do not reflect the far lower payments hospitals </w:t>
      </w:r>
      <w:proofErr w:type="gramStart"/>
      <w:r>
        <w:t>actually receive</w:t>
      </w:r>
      <w:proofErr w:type="gramEnd"/>
      <w:r>
        <w:t xml:space="preserve"> for the services they provide. Both Medicare and Medicaid pay hospitals set rates that are well below charges and often less than the cost the hospital incurs to deliver care, and insurance companies pay hospitals set, negotiated rates that are well below charges. For low-income patients without health insurance, New York State has a hospital financial assistance law that guarantees they will pay significantly less than the charge amount.</w:t>
      </w:r>
    </w:p>
    <w:p w14:paraId="1D5C31F3" w14:textId="77777777" w:rsidR="00687927" w:rsidRDefault="00687927" w:rsidP="00687927">
      <w:pPr>
        <w:ind w:left="360" w:hanging="360"/>
      </w:pPr>
    </w:p>
    <w:p w14:paraId="74F4F670" w14:textId="77777777" w:rsidR="00687927" w:rsidRPr="00687927" w:rsidRDefault="00687927" w:rsidP="00687927">
      <w:pPr>
        <w:ind w:left="360" w:hanging="360"/>
        <w:rPr>
          <w:color w:val="4179BD" w:themeColor="accent1"/>
        </w:rPr>
      </w:pPr>
      <w:r w:rsidRPr="00687927">
        <w:rPr>
          <w:color w:val="4179BD" w:themeColor="accent1"/>
        </w:rPr>
        <w:t>Q:</w:t>
      </w:r>
      <w:r w:rsidRPr="00687927">
        <w:rPr>
          <w:color w:val="4179BD" w:themeColor="accent1"/>
        </w:rPr>
        <w:tab/>
        <w:t>Why do charges vary by hospital?</w:t>
      </w:r>
    </w:p>
    <w:p w14:paraId="749F2B9B" w14:textId="77777777" w:rsidR="00687927" w:rsidRDefault="00687927" w:rsidP="00687927">
      <w:pPr>
        <w:ind w:left="360" w:hanging="360"/>
      </w:pPr>
      <w:r>
        <w:t>A:</w:t>
      </w:r>
      <w:r>
        <w:tab/>
        <w:t xml:space="preserve">Charges will vary based on the location of the hospital, the skill mix of its workforce, the availability of specialized services such as trauma and transplant services, whether it is a teaching hospital, its level of underpayment from the Medicare and Medicaid programs, and services provided to the uninsured. Our hospital provides </w:t>
      </w:r>
      <w:r w:rsidRPr="00163AEF">
        <w:rPr>
          <w:rStyle w:val="Heading3Char"/>
        </w:rPr>
        <w:t>[develop talking points about the level of underpayment from Medicare and Medicaid; level of charity care provided to uninsured patients]</w:t>
      </w:r>
      <w:r>
        <w:t>.</w:t>
      </w:r>
    </w:p>
    <w:p w14:paraId="1958E281" w14:textId="77777777" w:rsidR="00687927" w:rsidRDefault="00687927" w:rsidP="00687927">
      <w:pPr>
        <w:ind w:left="360" w:hanging="360"/>
      </w:pPr>
    </w:p>
    <w:p w14:paraId="01F638D2" w14:textId="77777777" w:rsidR="00687927" w:rsidRPr="00687927" w:rsidRDefault="00687927" w:rsidP="00687927">
      <w:pPr>
        <w:ind w:left="360" w:hanging="360"/>
        <w:rPr>
          <w:color w:val="4179BD" w:themeColor="accent1"/>
        </w:rPr>
      </w:pPr>
      <w:r w:rsidRPr="00687927">
        <w:rPr>
          <w:color w:val="4179BD" w:themeColor="accent1"/>
        </w:rPr>
        <w:t>Q:</w:t>
      </w:r>
      <w:r w:rsidRPr="00687927">
        <w:rPr>
          <w:color w:val="4179BD" w:themeColor="accent1"/>
        </w:rPr>
        <w:tab/>
        <w:t>What are charges used for?</w:t>
      </w:r>
    </w:p>
    <w:p w14:paraId="5DEE8E7A" w14:textId="77777777" w:rsidR="00687927" w:rsidRDefault="00687927" w:rsidP="00687927">
      <w:pPr>
        <w:ind w:left="360" w:hanging="360"/>
      </w:pPr>
      <w:r>
        <w:t>A:</w:t>
      </w:r>
      <w:r>
        <w:tab/>
        <w:t xml:space="preserve">Charges are used to document the services a hospital provides to patients (e.g., medical procedures, lab tests, supplies, medications). These charges are used to generate a claim to be sent to an insurance company and to patients for their out-of-pocket expenses. </w:t>
      </w:r>
    </w:p>
    <w:p w14:paraId="23DCD563" w14:textId="77777777" w:rsidR="00687927" w:rsidRDefault="00687927" w:rsidP="00687927">
      <w:pPr>
        <w:ind w:left="360" w:hanging="360"/>
      </w:pPr>
    </w:p>
    <w:p w14:paraId="69F2F321" w14:textId="77777777" w:rsidR="00687927" w:rsidRDefault="00687927" w:rsidP="00687927">
      <w:pPr>
        <w:ind w:left="360"/>
      </w:pPr>
      <w:r>
        <w:t xml:space="preserve">Generally, hospital charges do not reflect the far lower payments hospitals </w:t>
      </w:r>
      <w:proofErr w:type="gramStart"/>
      <w:r>
        <w:t>actually receive</w:t>
      </w:r>
      <w:proofErr w:type="gramEnd"/>
      <w:r>
        <w:t xml:space="preserve"> for the services they provide. For patients with health insurance, coinsurance and deductibles are based on specific insurance benefits and the far lower rates hospitals have negotiated with the insurance company, not the hospital’s charges. </w:t>
      </w:r>
    </w:p>
    <w:p w14:paraId="286633B9" w14:textId="77777777" w:rsidR="00687927" w:rsidRDefault="00687927" w:rsidP="00687927">
      <w:pPr>
        <w:ind w:left="360" w:hanging="360"/>
      </w:pPr>
    </w:p>
    <w:p w14:paraId="73DB07E9" w14:textId="77777777" w:rsidR="00687927" w:rsidRPr="00687927" w:rsidRDefault="00687927" w:rsidP="00687927">
      <w:pPr>
        <w:ind w:left="360" w:hanging="360"/>
        <w:rPr>
          <w:color w:val="4179BD" w:themeColor="accent1"/>
        </w:rPr>
      </w:pPr>
      <w:r w:rsidRPr="00687927">
        <w:rPr>
          <w:color w:val="4179BD" w:themeColor="accent1"/>
        </w:rPr>
        <w:t>Q:</w:t>
      </w:r>
      <w:r w:rsidRPr="00687927">
        <w:rPr>
          <w:color w:val="4179BD" w:themeColor="accent1"/>
        </w:rPr>
        <w:tab/>
        <w:t>How does the hospital work with patients to understand their out-of-pocket expenses?</w:t>
      </w:r>
    </w:p>
    <w:p w14:paraId="34CB6F54" w14:textId="77777777" w:rsidR="00687927" w:rsidRPr="00DE36D7" w:rsidRDefault="00687927" w:rsidP="00687927">
      <w:pPr>
        <w:ind w:left="360" w:hanging="360"/>
        <w:rPr>
          <w:rStyle w:val="Heading3Char"/>
        </w:rPr>
      </w:pPr>
      <w:r>
        <w:t>A:</w:t>
      </w:r>
      <w:r>
        <w:tab/>
        <w:t xml:space="preserve">Because chargemaster information is intended far more for internal hospital purposes than for helping patients figure out how much they’ll be </w:t>
      </w:r>
      <w:proofErr w:type="gramStart"/>
      <w:r>
        <w:t>billed,</w:t>
      </w:r>
      <w:proofErr w:type="gramEnd"/>
      <w:r>
        <w:t xml:space="preserve"> our hospital provides patient financial counselors to answer patients’ questions about their bills. Our patient financial counselors can be contacted at </w:t>
      </w:r>
      <w:r w:rsidRPr="009D607D">
        <w:rPr>
          <w:rStyle w:val="Heading3Char"/>
        </w:rPr>
        <w:t>[xxx-</w:t>
      </w:r>
      <w:r w:rsidRPr="009D607D">
        <w:rPr>
          <w:rStyle w:val="Heading3Char"/>
        </w:rPr>
        <w:lastRenderedPageBreak/>
        <w:t>xxx-</w:t>
      </w:r>
      <w:proofErr w:type="spellStart"/>
      <w:r w:rsidRPr="009D607D">
        <w:rPr>
          <w:rStyle w:val="Heading3Char"/>
        </w:rPr>
        <w:t>xxxx</w:t>
      </w:r>
      <w:proofErr w:type="spellEnd"/>
      <w:r w:rsidRPr="009D607D">
        <w:rPr>
          <w:rStyle w:val="Heading3Char"/>
        </w:rPr>
        <w:t>]</w:t>
      </w:r>
      <w:r>
        <w:t xml:space="preserve">. In addition, our robust financial assistance policy provides discounted care to patients who are unable to afford their hospital bill. </w:t>
      </w:r>
      <w:r w:rsidRPr="00DE36D7">
        <w:rPr>
          <w:rStyle w:val="Heading3Char"/>
        </w:rPr>
        <w:t xml:space="preserve">[Add any other information that may be useful.] </w:t>
      </w:r>
      <w:bookmarkStart w:id="0" w:name="_GoBack"/>
      <w:bookmarkEnd w:id="0"/>
    </w:p>
    <w:p w14:paraId="7B7AC2C0" w14:textId="77777777" w:rsidR="00687927" w:rsidRPr="00C4046A" w:rsidRDefault="00687927" w:rsidP="00C4046A"/>
    <w:sectPr w:rsidR="00687927" w:rsidRPr="00C4046A" w:rsidSect="001D2DF2">
      <w:headerReference w:type="default" r:id="rId7"/>
      <w:footerReference w:type="default" r:id="rId8"/>
      <w:headerReference w:type="first" r:id="rId9"/>
      <w:footerReference w:type="first" r:id="rId10"/>
      <w:pgSz w:w="12240" w:h="15840"/>
      <w:pgMar w:top="1350" w:right="1440" w:bottom="1440" w:left="1440" w:header="576" w:footer="34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B572B" w14:textId="77777777" w:rsidR="0059762E" w:rsidRDefault="0059762E" w:rsidP="003D001A">
      <w:pPr>
        <w:spacing w:line="240" w:lineRule="auto"/>
      </w:pPr>
      <w:r>
        <w:separator/>
      </w:r>
    </w:p>
  </w:endnote>
  <w:endnote w:type="continuationSeparator" w:id="0">
    <w:p w14:paraId="5FACF5B5" w14:textId="77777777" w:rsidR="0059762E" w:rsidRDefault="0059762E" w:rsidP="003D0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376533"/>
      <w:docPartObj>
        <w:docPartGallery w:val="Page Numbers (Bottom of Page)"/>
        <w:docPartUnique/>
      </w:docPartObj>
    </w:sdtPr>
    <w:sdtEndPr>
      <w:rPr>
        <w:rStyle w:val="Heading1Char"/>
        <w:rFonts w:asciiTheme="majorHAnsi" w:eastAsiaTheme="majorEastAsia" w:hAnsiTheme="majorHAnsi" w:cstheme="majorBidi"/>
        <w:b/>
        <w:bCs/>
        <w:color w:val="4179BD" w:themeColor="accent1"/>
        <w:szCs w:val="28"/>
      </w:rPr>
    </w:sdtEndPr>
    <w:sdtContent>
      <w:p w14:paraId="072DE8E4" w14:textId="77777777" w:rsidR="00DD6C7E" w:rsidRPr="00DD6C7E" w:rsidRDefault="00DD6C7E" w:rsidP="00DD6C7E">
        <w:pPr>
          <w:pStyle w:val="Footer"/>
          <w:tabs>
            <w:tab w:val="clear" w:pos="9360"/>
            <w:tab w:val="right" w:pos="10170"/>
          </w:tabs>
          <w:ind w:right="-720"/>
          <w:jc w:val="right"/>
          <w:rPr>
            <w:rStyle w:val="Heading1Char"/>
          </w:rPr>
        </w:pPr>
        <w:r w:rsidRPr="00DD6C7E">
          <w:rPr>
            <w:rStyle w:val="Heading1Char"/>
          </w:rPr>
          <w:fldChar w:fldCharType="begin"/>
        </w:r>
        <w:r w:rsidRPr="00DD6C7E">
          <w:rPr>
            <w:rStyle w:val="Heading1Char"/>
          </w:rPr>
          <w:instrText xml:space="preserve"> PAGE   \* MERGEFORMAT </w:instrText>
        </w:r>
        <w:r w:rsidRPr="00DD6C7E">
          <w:rPr>
            <w:rStyle w:val="Heading1Char"/>
          </w:rPr>
          <w:fldChar w:fldCharType="separate"/>
        </w:r>
        <w:r w:rsidR="009D607D">
          <w:rPr>
            <w:rStyle w:val="Heading1Char"/>
            <w:noProof/>
          </w:rPr>
          <w:t>2</w:t>
        </w:r>
        <w:r w:rsidRPr="00DD6C7E">
          <w:rPr>
            <w:rStyle w:val="Heading1Char"/>
          </w:rPr>
          <w:fldChar w:fldCharType="end"/>
        </w:r>
      </w:p>
    </w:sdtContent>
  </w:sdt>
  <w:p w14:paraId="074C33A5" w14:textId="77777777" w:rsidR="00DD6C7E" w:rsidRDefault="00DD6C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2C3B1" w14:textId="77777777" w:rsidR="00A67F81" w:rsidRDefault="00A67F81" w:rsidP="00A67F81">
    <w:pPr>
      <w:pStyle w:val="Footer"/>
      <w:tabs>
        <w:tab w:val="left" w:pos="-540"/>
      </w:tabs>
      <w:ind w:left="-540"/>
    </w:pPr>
    <w:r>
      <w:t xml:space="preserve">       </w:t>
    </w:r>
    <w:r>
      <w:rPr>
        <w:noProof/>
      </w:rPr>
      <w:drawing>
        <wp:inline distT="0" distB="0" distL="0" distR="0" wp14:anchorId="623ABB34" wp14:editId="022CA6EA">
          <wp:extent cx="6838950" cy="548723"/>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HA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0469" cy="54964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D8841" w14:textId="77777777" w:rsidR="0059762E" w:rsidRDefault="0059762E" w:rsidP="003D001A">
      <w:pPr>
        <w:spacing w:line="240" w:lineRule="auto"/>
      </w:pPr>
      <w:r>
        <w:separator/>
      </w:r>
    </w:p>
  </w:footnote>
  <w:footnote w:type="continuationSeparator" w:id="0">
    <w:p w14:paraId="621180B6" w14:textId="77777777" w:rsidR="0059762E" w:rsidRDefault="0059762E" w:rsidP="003D001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C4438" w14:textId="77777777" w:rsidR="003D001A" w:rsidRDefault="007E06E4" w:rsidP="001D2DF2">
    <w:pPr>
      <w:pStyle w:val="Header"/>
      <w:tabs>
        <w:tab w:val="clear" w:pos="4680"/>
        <w:tab w:val="clear" w:pos="9360"/>
        <w:tab w:val="left" w:pos="1140"/>
      </w:tabs>
      <w:ind w:left="-900"/>
    </w:pPr>
    <w:r w:rsidRPr="007E06E4">
      <w:rPr>
        <w:noProof/>
      </w:rPr>
      <w:drawing>
        <wp:inline distT="0" distB="0" distL="0" distR="0" wp14:anchorId="3551F120" wp14:editId="239C1EFC">
          <wp:extent cx="101917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200025"/>
                  </a:xfrm>
                  <a:prstGeom prst="rect">
                    <a:avLst/>
                  </a:prstGeom>
                  <a:noFill/>
                  <a:ln>
                    <a:noFill/>
                  </a:ln>
                </pic:spPr>
              </pic:pic>
            </a:graphicData>
          </a:graphic>
        </wp:inline>
      </w:drawing>
    </w:r>
    <w:r w:rsidR="001D2DF2">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D6A8" w14:textId="77777777" w:rsidR="001D2DF2" w:rsidRDefault="001D2DF2" w:rsidP="001D2DF2">
    <w:pPr>
      <w:pStyle w:val="Header"/>
      <w:tabs>
        <w:tab w:val="clear" w:pos="9360"/>
        <w:tab w:val="right" w:pos="10080"/>
      </w:tabs>
      <w:ind w:left="-900" w:right="-720"/>
      <w:jc w:val="center"/>
    </w:pPr>
  </w:p>
  <w:p w14:paraId="7DF0AF36" w14:textId="77777777" w:rsidR="004000A6" w:rsidRDefault="00A67F81" w:rsidP="00A67F81">
    <w:pPr>
      <w:pStyle w:val="Header"/>
      <w:tabs>
        <w:tab w:val="clear" w:pos="9360"/>
        <w:tab w:val="right" w:pos="10080"/>
      </w:tabs>
      <w:ind w:left="-720" w:right="-720"/>
      <w:jc w:val="center"/>
      <w:rPr>
        <w:noProof/>
      </w:rPr>
    </w:pPr>
    <w:r>
      <w:rPr>
        <w:noProof/>
      </w:rPr>
      <w:drawing>
        <wp:inline distT="0" distB="0" distL="0" distR="0" wp14:anchorId="375D7287" wp14:editId="16FF7BBD">
          <wp:extent cx="6912237" cy="470416"/>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HA_Leading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5040" cy="484898"/>
                  </a:xfrm>
                  <a:prstGeom prst="rect">
                    <a:avLst/>
                  </a:prstGeom>
                </pic:spPr>
              </pic:pic>
            </a:graphicData>
          </a:graphic>
        </wp:inline>
      </w:drawing>
    </w:r>
  </w:p>
  <w:p w14:paraId="157EB610" w14:textId="77777777" w:rsidR="00230001" w:rsidRDefault="00230001" w:rsidP="00A67F81">
    <w:pPr>
      <w:pStyle w:val="Header"/>
      <w:tabs>
        <w:tab w:val="clear" w:pos="9360"/>
        <w:tab w:val="right" w:pos="10080"/>
      </w:tabs>
      <w:ind w:right="-720"/>
    </w:pPr>
  </w:p>
  <w:p w14:paraId="391B38A3" w14:textId="77777777" w:rsidR="00230001" w:rsidRDefault="00230001" w:rsidP="004000A6">
    <w:pPr>
      <w:pStyle w:val="Header"/>
      <w:tabs>
        <w:tab w:val="clear" w:pos="9360"/>
        <w:tab w:val="right" w:pos="10080"/>
      </w:tabs>
      <w:ind w:left="-900" w:right="-720"/>
    </w:pPr>
  </w:p>
  <w:p w14:paraId="6458A13A" w14:textId="77777777" w:rsidR="00A67F81" w:rsidRDefault="00A67F81" w:rsidP="004000A6">
    <w:pPr>
      <w:pStyle w:val="Header"/>
      <w:tabs>
        <w:tab w:val="clear" w:pos="9360"/>
        <w:tab w:val="right" w:pos="10080"/>
      </w:tabs>
      <w:ind w:left="-900" w:right="-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A5757"/>
    <w:multiLevelType w:val="hybridMultilevel"/>
    <w:tmpl w:val="B7942DC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3C303496"/>
    <w:multiLevelType w:val="hybridMultilevel"/>
    <w:tmpl w:val="52F4F064"/>
    <w:lvl w:ilvl="0" w:tplc="FC9A37E4">
      <w:start w:val="1"/>
      <w:numFmt w:val="bullet"/>
      <w:pStyle w:val="ListParagraph"/>
      <w:lvlText w:val=""/>
      <w:lvlJc w:val="left"/>
      <w:pPr>
        <w:ind w:left="1440" w:hanging="360"/>
      </w:pPr>
      <w:rPr>
        <w:rFonts w:ascii="Symbol" w:hAnsi="Symbol" w:hint="default"/>
        <w:color w:val="4179B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641BA0"/>
    <w:multiLevelType w:val="hybridMultilevel"/>
    <w:tmpl w:val="6D780AC8"/>
    <w:lvl w:ilvl="0" w:tplc="635E76F8">
      <w:start w:val="1"/>
      <w:numFmt w:val="bullet"/>
      <w:lvlText w:val=""/>
      <w:lvlJc w:val="left"/>
      <w:pPr>
        <w:ind w:left="1440" w:hanging="360"/>
      </w:pPr>
      <w:rPr>
        <w:rFonts w:ascii="Symbol" w:hAnsi="Symbol" w:hint="default"/>
        <w:color w:val="4179B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0400E9"/>
    <w:multiLevelType w:val="hybridMultilevel"/>
    <w:tmpl w:val="206C4F06"/>
    <w:lvl w:ilvl="0" w:tplc="635E76F8">
      <w:start w:val="1"/>
      <w:numFmt w:val="bullet"/>
      <w:lvlText w:val=""/>
      <w:lvlJc w:val="left"/>
      <w:pPr>
        <w:ind w:left="1440" w:hanging="360"/>
      </w:pPr>
      <w:rPr>
        <w:rFonts w:ascii="Symbol" w:hAnsi="Symbol" w:hint="default"/>
        <w:color w:val="4179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A1576"/>
    <w:multiLevelType w:val="hybridMultilevel"/>
    <w:tmpl w:val="00A8A874"/>
    <w:lvl w:ilvl="0" w:tplc="635E76F8">
      <w:start w:val="1"/>
      <w:numFmt w:val="bullet"/>
      <w:lvlText w:val=""/>
      <w:lvlJc w:val="left"/>
      <w:pPr>
        <w:ind w:left="720" w:hanging="360"/>
      </w:pPr>
      <w:rPr>
        <w:rFonts w:ascii="Symbol" w:hAnsi="Symbol" w:hint="default"/>
        <w:color w:val="4179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27"/>
    <w:rsid w:val="00121ECB"/>
    <w:rsid w:val="001328AA"/>
    <w:rsid w:val="00160A90"/>
    <w:rsid w:val="00163AEF"/>
    <w:rsid w:val="001D2DF2"/>
    <w:rsid w:val="00230001"/>
    <w:rsid w:val="00356603"/>
    <w:rsid w:val="003716B2"/>
    <w:rsid w:val="003D001A"/>
    <w:rsid w:val="004000A6"/>
    <w:rsid w:val="0059762E"/>
    <w:rsid w:val="005B314E"/>
    <w:rsid w:val="00687927"/>
    <w:rsid w:val="00763B64"/>
    <w:rsid w:val="007E06E4"/>
    <w:rsid w:val="009D607D"/>
    <w:rsid w:val="00A05AED"/>
    <w:rsid w:val="00A26942"/>
    <w:rsid w:val="00A67F81"/>
    <w:rsid w:val="00AB3250"/>
    <w:rsid w:val="00BE2BE8"/>
    <w:rsid w:val="00C203AA"/>
    <w:rsid w:val="00C4046A"/>
    <w:rsid w:val="00D97334"/>
    <w:rsid w:val="00DB02D8"/>
    <w:rsid w:val="00DB4FD8"/>
    <w:rsid w:val="00DD6C7E"/>
    <w:rsid w:val="00DE36D7"/>
    <w:rsid w:val="00E93C2F"/>
    <w:rsid w:val="00EC01BE"/>
    <w:rsid w:val="00F46F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47D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356603"/>
    <w:pPr>
      <w:spacing w:after="0"/>
      <w:jc w:val="both"/>
    </w:pPr>
    <w:rPr>
      <w:rFonts w:ascii="Times New Roman" w:hAnsi="Times New Roman"/>
    </w:rPr>
  </w:style>
  <w:style w:type="paragraph" w:styleId="Heading1">
    <w:name w:val="heading 1"/>
    <w:basedOn w:val="Normal"/>
    <w:next w:val="Normal"/>
    <w:link w:val="Heading1Char"/>
    <w:autoRedefine/>
    <w:uiPriority w:val="9"/>
    <w:qFormat/>
    <w:rsid w:val="001328AA"/>
    <w:pPr>
      <w:keepNext/>
      <w:keepLines/>
      <w:contextualSpacing/>
      <w:outlineLvl w:val="0"/>
    </w:pPr>
    <w:rPr>
      <w:rFonts w:asciiTheme="majorHAnsi" w:eastAsiaTheme="majorEastAsia" w:hAnsiTheme="majorHAnsi" w:cstheme="majorBidi"/>
      <w:b/>
      <w:bCs/>
      <w:color w:val="4179BD" w:themeColor="accent1"/>
      <w:szCs w:val="28"/>
    </w:rPr>
  </w:style>
  <w:style w:type="paragraph" w:styleId="Heading2">
    <w:name w:val="heading 2"/>
    <w:basedOn w:val="Normal"/>
    <w:next w:val="Normal"/>
    <w:link w:val="Heading2Char"/>
    <w:uiPriority w:val="9"/>
    <w:unhideWhenUsed/>
    <w:qFormat/>
    <w:rsid w:val="00AB3250"/>
    <w:pPr>
      <w:keepNext/>
      <w:keepLines/>
      <w:outlineLvl w:val="1"/>
    </w:pPr>
    <w:rPr>
      <w:rFonts w:asciiTheme="majorHAnsi" w:eastAsiaTheme="majorEastAsia" w:hAnsiTheme="majorHAnsi" w:cstheme="majorBidi"/>
      <w:b/>
      <w:bCs/>
      <w:i/>
      <w:color w:val="4179BD" w:themeColor="accent1"/>
      <w:sz w:val="20"/>
      <w:szCs w:val="26"/>
    </w:rPr>
  </w:style>
  <w:style w:type="paragraph" w:styleId="Heading3">
    <w:name w:val="heading 3"/>
    <w:basedOn w:val="Normal"/>
    <w:next w:val="Normal"/>
    <w:link w:val="Heading3Char"/>
    <w:uiPriority w:val="9"/>
    <w:unhideWhenUsed/>
    <w:qFormat/>
    <w:rsid w:val="00AB3250"/>
    <w:pPr>
      <w:keepNext/>
      <w:keepLines/>
      <w:outlineLvl w:val="2"/>
    </w:pPr>
    <w:rPr>
      <w:rFonts w:asciiTheme="majorHAnsi" w:eastAsiaTheme="majorEastAsia" w:hAnsiTheme="majorHAnsi" w:cstheme="majorBidi"/>
      <w:bCs/>
      <w:i/>
      <w:color w:val="4179BD" w:themeColor="accent1"/>
      <w:sz w:val="20"/>
    </w:rPr>
  </w:style>
  <w:style w:type="paragraph" w:styleId="Heading4">
    <w:name w:val="heading 4"/>
    <w:basedOn w:val="Normal"/>
    <w:next w:val="Normal"/>
    <w:link w:val="Heading4Char"/>
    <w:uiPriority w:val="9"/>
    <w:semiHidden/>
    <w:unhideWhenUsed/>
    <w:rsid w:val="00AB3250"/>
    <w:pPr>
      <w:keepNext/>
      <w:keepLines/>
      <w:outlineLvl w:val="3"/>
    </w:pPr>
    <w:rPr>
      <w:rFonts w:asciiTheme="majorHAnsi" w:eastAsiaTheme="majorEastAsia" w:hAnsiTheme="majorHAnsi" w:cstheme="majorBidi"/>
      <w:b/>
      <w:bCs/>
      <w:i/>
      <w:iCs/>
      <w:color w:val="4179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01A"/>
    <w:pPr>
      <w:tabs>
        <w:tab w:val="center" w:pos="4680"/>
        <w:tab w:val="right" w:pos="9360"/>
      </w:tabs>
      <w:spacing w:line="240" w:lineRule="auto"/>
    </w:pPr>
  </w:style>
  <w:style w:type="character" w:customStyle="1" w:styleId="HeaderChar">
    <w:name w:val="Header Char"/>
    <w:basedOn w:val="DefaultParagraphFont"/>
    <w:link w:val="Header"/>
    <w:uiPriority w:val="99"/>
    <w:rsid w:val="003D001A"/>
  </w:style>
  <w:style w:type="paragraph" w:styleId="Footer">
    <w:name w:val="footer"/>
    <w:basedOn w:val="Normal"/>
    <w:link w:val="FooterChar"/>
    <w:uiPriority w:val="99"/>
    <w:unhideWhenUsed/>
    <w:rsid w:val="003D001A"/>
    <w:pPr>
      <w:tabs>
        <w:tab w:val="center" w:pos="4680"/>
        <w:tab w:val="right" w:pos="9360"/>
      </w:tabs>
      <w:spacing w:line="240" w:lineRule="auto"/>
    </w:pPr>
  </w:style>
  <w:style w:type="character" w:customStyle="1" w:styleId="FooterChar">
    <w:name w:val="Footer Char"/>
    <w:basedOn w:val="DefaultParagraphFont"/>
    <w:link w:val="Footer"/>
    <w:uiPriority w:val="99"/>
    <w:rsid w:val="003D001A"/>
  </w:style>
  <w:style w:type="paragraph" w:styleId="BalloonText">
    <w:name w:val="Balloon Text"/>
    <w:basedOn w:val="Normal"/>
    <w:link w:val="BalloonTextChar"/>
    <w:uiPriority w:val="99"/>
    <w:semiHidden/>
    <w:unhideWhenUsed/>
    <w:rsid w:val="003D00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1A"/>
    <w:rPr>
      <w:rFonts w:ascii="Tahoma" w:hAnsi="Tahoma" w:cs="Tahoma"/>
      <w:sz w:val="16"/>
      <w:szCs w:val="16"/>
    </w:rPr>
  </w:style>
  <w:style w:type="character" w:customStyle="1" w:styleId="Heading1Char">
    <w:name w:val="Heading 1 Char"/>
    <w:basedOn w:val="DefaultParagraphFont"/>
    <w:link w:val="Heading1"/>
    <w:uiPriority w:val="9"/>
    <w:rsid w:val="001328AA"/>
    <w:rPr>
      <w:rFonts w:asciiTheme="majorHAnsi" w:eastAsiaTheme="majorEastAsia" w:hAnsiTheme="majorHAnsi" w:cstheme="majorBidi"/>
      <w:b/>
      <w:bCs/>
      <w:color w:val="4179BD" w:themeColor="accent1"/>
      <w:szCs w:val="28"/>
    </w:rPr>
  </w:style>
  <w:style w:type="character" w:customStyle="1" w:styleId="Heading2Char">
    <w:name w:val="Heading 2 Char"/>
    <w:basedOn w:val="DefaultParagraphFont"/>
    <w:link w:val="Heading2"/>
    <w:uiPriority w:val="9"/>
    <w:rsid w:val="00AB3250"/>
    <w:rPr>
      <w:rFonts w:asciiTheme="majorHAnsi" w:eastAsiaTheme="majorEastAsia" w:hAnsiTheme="majorHAnsi" w:cstheme="majorBidi"/>
      <w:b/>
      <w:bCs/>
      <w:i/>
      <w:color w:val="4179BD" w:themeColor="accent1"/>
      <w:sz w:val="20"/>
      <w:szCs w:val="26"/>
    </w:rPr>
  </w:style>
  <w:style w:type="character" w:styleId="SubtleEmphasis">
    <w:name w:val="Subtle Emphasis"/>
    <w:basedOn w:val="DefaultParagraphFont"/>
    <w:uiPriority w:val="19"/>
    <w:rsid w:val="00C203AA"/>
    <w:rPr>
      <w:i/>
      <w:iCs/>
      <w:color w:val="4179BD" w:themeColor="accent1"/>
    </w:rPr>
  </w:style>
  <w:style w:type="paragraph" w:styleId="ListParagraph">
    <w:name w:val="List Paragraph"/>
    <w:basedOn w:val="Normal"/>
    <w:uiPriority w:val="34"/>
    <w:qFormat/>
    <w:rsid w:val="00DB02D8"/>
    <w:pPr>
      <w:numPr>
        <w:numId w:val="4"/>
      </w:numPr>
      <w:ind w:left="936"/>
      <w:contextualSpacing/>
    </w:pPr>
  </w:style>
  <w:style w:type="character" w:customStyle="1" w:styleId="Heading3Char">
    <w:name w:val="Heading 3 Char"/>
    <w:basedOn w:val="DefaultParagraphFont"/>
    <w:link w:val="Heading3"/>
    <w:uiPriority w:val="9"/>
    <w:rsid w:val="00AB3250"/>
    <w:rPr>
      <w:rFonts w:asciiTheme="majorHAnsi" w:eastAsiaTheme="majorEastAsia" w:hAnsiTheme="majorHAnsi" w:cstheme="majorBidi"/>
      <w:bCs/>
      <w:i/>
      <w:color w:val="4179BD" w:themeColor="accent1"/>
      <w:sz w:val="20"/>
    </w:rPr>
  </w:style>
  <w:style w:type="paragraph" w:styleId="Subtitle">
    <w:name w:val="Subtitle"/>
    <w:basedOn w:val="Normal"/>
    <w:next w:val="Normal"/>
    <w:link w:val="SubtitleChar"/>
    <w:uiPriority w:val="11"/>
    <w:rsid w:val="00C203AA"/>
    <w:pPr>
      <w:numPr>
        <w:ilvl w:val="1"/>
      </w:numPr>
    </w:pPr>
    <w:rPr>
      <w:rFonts w:asciiTheme="majorHAnsi" w:eastAsiaTheme="majorEastAsia" w:hAnsiTheme="majorHAnsi" w:cstheme="majorBidi"/>
      <w:i/>
      <w:iCs/>
      <w:color w:val="4179BD" w:themeColor="accent1"/>
      <w:spacing w:val="15"/>
      <w:szCs w:val="24"/>
    </w:rPr>
  </w:style>
  <w:style w:type="character" w:customStyle="1" w:styleId="SubtitleChar">
    <w:name w:val="Subtitle Char"/>
    <w:basedOn w:val="DefaultParagraphFont"/>
    <w:link w:val="Subtitle"/>
    <w:uiPriority w:val="11"/>
    <w:rsid w:val="00C203AA"/>
    <w:rPr>
      <w:rFonts w:asciiTheme="majorHAnsi" w:eastAsiaTheme="majorEastAsia" w:hAnsiTheme="majorHAnsi" w:cstheme="majorBidi"/>
      <w:i/>
      <w:iCs/>
      <w:color w:val="4179BD" w:themeColor="accent1"/>
      <w:spacing w:val="15"/>
      <w:sz w:val="24"/>
      <w:szCs w:val="24"/>
    </w:rPr>
  </w:style>
  <w:style w:type="character" w:styleId="Emphasis">
    <w:name w:val="Emphasis"/>
    <w:basedOn w:val="DefaultParagraphFont"/>
    <w:uiPriority w:val="20"/>
    <w:rsid w:val="00C203AA"/>
    <w:rPr>
      <w:i/>
      <w:iCs/>
    </w:rPr>
  </w:style>
  <w:style w:type="character" w:styleId="IntenseEmphasis">
    <w:name w:val="Intense Emphasis"/>
    <w:basedOn w:val="DefaultParagraphFont"/>
    <w:uiPriority w:val="21"/>
    <w:rsid w:val="00C203AA"/>
    <w:rPr>
      <w:b/>
      <w:bCs/>
      <w:i/>
      <w:iCs/>
      <w:color w:val="4179BD" w:themeColor="accent1"/>
    </w:rPr>
  </w:style>
  <w:style w:type="character" w:styleId="Strong">
    <w:name w:val="Strong"/>
    <w:basedOn w:val="DefaultParagraphFont"/>
    <w:uiPriority w:val="22"/>
    <w:rsid w:val="00C203AA"/>
    <w:rPr>
      <w:b/>
      <w:bCs/>
    </w:rPr>
  </w:style>
  <w:style w:type="paragraph" w:styleId="Quote">
    <w:name w:val="Quote"/>
    <w:basedOn w:val="Normal"/>
    <w:next w:val="Normal"/>
    <w:link w:val="QuoteChar"/>
    <w:uiPriority w:val="29"/>
    <w:rsid w:val="00C203AA"/>
    <w:rPr>
      <w:i/>
      <w:iCs/>
      <w:color w:val="262626" w:themeColor="text1"/>
    </w:rPr>
  </w:style>
  <w:style w:type="character" w:customStyle="1" w:styleId="QuoteChar">
    <w:name w:val="Quote Char"/>
    <w:basedOn w:val="DefaultParagraphFont"/>
    <w:link w:val="Quote"/>
    <w:uiPriority w:val="29"/>
    <w:rsid w:val="00C203AA"/>
    <w:rPr>
      <w:rFonts w:ascii="Times New Roman" w:hAnsi="Times New Roman"/>
      <w:i/>
      <w:iCs/>
      <w:color w:val="262626" w:themeColor="text1"/>
      <w:sz w:val="24"/>
    </w:rPr>
  </w:style>
  <w:style w:type="paragraph" w:styleId="IntenseQuote">
    <w:name w:val="Intense Quote"/>
    <w:basedOn w:val="Normal"/>
    <w:next w:val="Normal"/>
    <w:link w:val="IntenseQuoteChar"/>
    <w:uiPriority w:val="30"/>
    <w:rsid w:val="00C203AA"/>
    <w:pPr>
      <w:pBdr>
        <w:bottom w:val="single" w:sz="4" w:space="4" w:color="4179BD" w:themeColor="accent1"/>
      </w:pBdr>
      <w:spacing w:before="200" w:after="280"/>
      <w:ind w:left="936" w:right="936"/>
    </w:pPr>
    <w:rPr>
      <w:b/>
      <w:bCs/>
      <w:i/>
      <w:iCs/>
      <w:color w:val="4179BD" w:themeColor="accent1"/>
    </w:rPr>
  </w:style>
  <w:style w:type="character" w:customStyle="1" w:styleId="IntenseQuoteChar">
    <w:name w:val="Intense Quote Char"/>
    <w:basedOn w:val="DefaultParagraphFont"/>
    <w:link w:val="IntenseQuote"/>
    <w:uiPriority w:val="30"/>
    <w:rsid w:val="00C203AA"/>
    <w:rPr>
      <w:rFonts w:ascii="Times New Roman" w:hAnsi="Times New Roman"/>
      <w:b/>
      <w:bCs/>
      <w:i/>
      <w:iCs/>
      <w:color w:val="4179BD" w:themeColor="accent1"/>
      <w:sz w:val="24"/>
    </w:rPr>
  </w:style>
  <w:style w:type="character" w:customStyle="1" w:styleId="Heading4Char">
    <w:name w:val="Heading 4 Char"/>
    <w:basedOn w:val="DefaultParagraphFont"/>
    <w:link w:val="Heading4"/>
    <w:uiPriority w:val="9"/>
    <w:semiHidden/>
    <w:rsid w:val="00AB3250"/>
    <w:rPr>
      <w:rFonts w:asciiTheme="majorHAnsi" w:eastAsiaTheme="majorEastAsia" w:hAnsiTheme="majorHAnsi" w:cstheme="majorBidi"/>
      <w:b/>
      <w:bCs/>
      <w:i/>
      <w:iCs/>
      <w:color w:val="4179BD" w:themeColor="accent1"/>
    </w:rPr>
  </w:style>
  <w:style w:type="paragraph" w:styleId="Title">
    <w:name w:val="Title"/>
    <w:basedOn w:val="Normal"/>
    <w:next w:val="Normal"/>
    <w:link w:val="TitleChar"/>
    <w:uiPriority w:val="10"/>
    <w:qFormat/>
    <w:rsid w:val="00DB02D8"/>
    <w:pPr>
      <w:spacing w:after="300" w:line="240" w:lineRule="auto"/>
      <w:contextualSpacing/>
      <w:jc w:val="center"/>
    </w:pPr>
    <w:rPr>
      <w:rFonts w:asciiTheme="majorHAnsi" w:eastAsiaTheme="majorEastAsia" w:hAnsiTheme="majorHAnsi" w:cstheme="majorBidi"/>
      <w:color w:val="2F2F2F" w:themeColor="text2" w:themeShade="BF"/>
      <w:spacing w:val="5"/>
      <w:kern w:val="28"/>
      <w:sz w:val="36"/>
      <w:szCs w:val="52"/>
    </w:rPr>
  </w:style>
  <w:style w:type="character" w:customStyle="1" w:styleId="TitleChar">
    <w:name w:val="Title Char"/>
    <w:basedOn w:val="DefaultParagraphFont"/>
    <w:link w:val="Title"/>
    <w:uiPriority w:val="10"/>
    <w:rsid w:val="00DB02D8"/>
    <w:rPr>
      <w:rFonts w:asciiTheme="majorHAnsi" w:eastAsiaTheme="majorEastAsia" w:hAnsiTheme="majorHAnsi" w:cstheme="majorBidi"/>
      <w:color w:val="2F2F2F" w:themeColor="text2" w:themeShade="BF"/>
      <w:spacing w:val="5"/>
      <w:kern w:val="28"/>
      <w:sz w:val="36"/>
      <w:szCs w:val="52"/>
    </w:rPr>
  </w:style>
  <w:style w:type="table" w:styleId="TableGrid">
    <w:name w:val="Table Grid"/>
    <w:basedOn w:val="TableNormal"/>
    <w:uiPriority w:val="59"/>
    <w:rsid w:val="00DB0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B02D8"/>
    <w:pPr>
      <w:spacing w:after="0" w:line="240" w:lineRule="auto"/>
    </w:pPr>
    <w:rPr>
      <w:color w:val="1C1C1C" w:themeColor="text1" w:themeShade="BF"/>
    </w:rPr>
    <w:tblPr>
      <w:tblStyleRowBandSize w:val="1"/>
      <w:tblStyleColBandSize w:val="1"/>
      <w:tblInd w:w="0" w:type="dxa"/>
      <w:tblBorders>
        <w:top w:val="single" w:sz="8" w:space="0" w:color="262626" w:themeColor="text1"/>
        <w:bottom w:val="single" w:sz="8" w:space="0" w:color="262626"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la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table" w:styleId="MediumShading1-Accent1">
    <w:name w:val="Medium Shading 1 Accent 1"/>
    <w:basedOn w:val="TableNormal"/>
    <w:uiPriority w:val="63"/>
    <w:rsid w:val="00DB02D8"/>
    <w:pPr>
      <w:spacing w:after="0" w:line="240" w:lineRule="auto"/>
    </w:pPr>
    <w:tblPr>
      <w:tblStyleRowBandSize w:val="1"/>
      <w:tblStyleColBandSize w:val="1"/>
      <w:tblInd w:w="0" w:type="dxa"/>
      <w:tblBorders>
        <w:top w:val="single" w:sz="8" w:space="0" w:color="709ACD" w:themeColor="accent1" w:themeTint="BF"/>
        <w:left w:val="single" w:sz="8" w:space="0" w:color="709ACD" w:themeColor="accent1" w:themeTint="BF"/>
        <w:bottom w:val="single" w:sz="8" w:space="0" w:color="709ACD" w:themeColor="accent1" w:themeTint="BF"/>
        <w:right w:val="single" w:sz="8" w:space="0" w:color="709ACD" w:themeColor="accent1" w:themeTint="BF"/>
        <w:insideH w:val="single" w:sz="8" w:space="0" w:color="709A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9ACD" w:themeColor="accent1" w:themeTint="BF"/>
          <w:left w:val="single" w:sz="8" w:space="0" w:color="709ACD" w:themeColor="accent1" w:themeTint="BF"/>
          <w:bottom w:val="single" w:sz="8" w:space="0" w:color="709ACD" w:themeColor="accent1" w:themeTint="BF"/>
          <w:right w:val="single" w:sz="8" w:space="0" w:color="709ACD" w:themeColor="accent1" w:themeTint="BF"/>
          <w:insideH w:val="nil"/>
          <w:insideV w:val="nil"/>
        </w:tcBorders>
        <w:shd w:val="clear" w:color="auto" w:fill="4179BD" w:themeFill="accent1"/>
      </w:tcPr>
    </w:tblStylePr>
    <w:tblStylePr w:type="lastRow">
      <w:pPr>
        <w:spacing w:before="0" w:after="0" w:line="240" w:lineRule="auto"/>
      </w:pPr>
      <w:rPr>
        <w:b/>
        <w:bCs/>
      </w:rPr>
      <w:tblPr/>
      <w:tcPr>
        <w:tcBorders>
          <w:top w:val="double" w:sz="6" w:space="0" w:color="709ACD" w:themeColor="accent1" w:themeTint="BF"/>
          <w:left w:val="single" w:sz="8" w:space="0" w:color="709ACD" w:themeColor="accent1" w:themeTint="BF"/>
          <w:bottom w:val="single" w:sz="8" w:space="0" w:color="709ACD" w:themeColor="accent1" w:themeTint="BF"/>
          <w:right w:val="single" w:sz="8" w:space="0" w:color="709A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DDEE" w:themeFill="accent1" w:themeFillTint="3F"/>
      </w:tcPr>
    </w:tblStylePr>
    <w:tblStylePr w:type="band1Horz">
      <w:tblPr/>
      <w:tcPr>
        <w:tcBorders>
          <w:insideH w:val="nil"/>
          <w:insideV w:val="nil"/>
        </w:tcBorders>
        <w:shd w:val="clear" w:color="auto" w:fill="CFDD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semiHidden/>
    <w:unhideWhenUsed/>
    <w:rsid w:val="003716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1273">
      <w:bodyDiv w:val="1"/>
      <w:marLeft w:val="0"/>
      <w:marRight w:val="0"/>
      <w:marTop w:val="0"/>
      <w:marBottom w:val="0"/>
      <w:divBdr>
        <w:top w:val="none" w:sz="0" w:space="0" w:color="auto"/>
        <w:left w:val="none" w:sz="0" w:space="0" w:color="auto"/>
        <w:bottom w:val="none" w:sz="0" w:space="0" w:color="auto"/>
        <w:right w:val="none" w:sz="0" w:space="0" w:color="auto"/>
      </w:divBdr>
    </w:div>
    <w:div w:id="184786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users/Common/GNYHA%20Templates%20and%20Logos/Word%20Templates/Main_Letterhead.dotx" TargetMode="External"/></Relationships>
</file>

<file path=word/theme/theme1.xml><?xml version="1.0" encoding="utf-8"?>
<a:theme xmlns:a="http://schemas.openxmlformats.org/drawingml/2006/main" name="Office Theme">
  <a:themeElements>
    <a:clrScheme name="GNYHA2014">
      <a:dk1>
        <a:srgbClr val="262626"/>
      </a:dk1>
      <a:lt1>
        <a:srgbClr val="FFFFFF"/>
      </a:lt1>
      <a:dk2>
        <a:srgbClr val="3F3F3F"/>
      </a:dk2>
      <a:lt2>
        <a:srgbClr val="EEECE1"/>
      </a:lt2>
      <a:accent1>
        <a:srgbClr val="4179BD"/>
      </a:accent1>
      <a:accent2>
        <a:srgbClr val="BA7828"/>
      </a:accent2>
      <a:accent3>
        <a:srgbClr val="58B7B3"/>
      </a:accent3>
      <a:accent4>
        <a:srgbClr val="8A8D32"/>
      </a:accent4>
      <a:accent5>
        <a:srgbClr val="61376F"/>
      </a:accent5>
      <a:accent6>
        <a:srgbClr val="A8353A"/>
      </a:accent6>
      <a:hlink>
        <a:srgbClr val="4179BD"/>
      </a:hlink>
      <a:folHlink>
        <a:srgbClr val="4179BD"/>
      </a:folHlink>
    </a:clrScheme>
    <a:fontScheme name="GNYH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Main_Letterhead.dotx</Template>
  <TotalTime>2</TotalTime>
  <Pages>2</Pages>
  <Words>451</Words>
  <Characters>2574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Greater New York Hospital Association</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cp:lastPrinted>2017-05-26T15:09:00Z</cp:lastPrinted>
  <dcterms:created xsi:type="dcterms:W3CDTF">2018-12-05T15:46:00Z</dcterms:created>
  <dcterms:modified xsi:type="dcterms:W3CDTF">2018-12-05T15:48:00Z</dcterms:modified>
</cp:coreProperties>
</file>