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71984" w14:textId="77777777" w:rsidR="00A775C8" w:rsidRDefault="00FC6434" w:rsidP="00A775C8">
      <w:pPr>
        <w:spacing w:after="8"/>
        <w:rPr>
          <w:rFonts w:ascii="Palatino" w:hAnsi="Palatino"/>
          <w:caps/>
          <w:sz w:val="18"/>
        </w:rPr>
      </w:pPr>
      <w:r>
        <w:rPr>
          <w:rFonts w:ascii="Palatino" w:hAnsi="Palatino"/>
          <w:caps/>
          <w:noProof/>
          <w:sz w:val="18"/>
        </w:rPr>
        <w:drawing>
          <wp:anchor distT="0" distB="0" distL="114300" distR="114300" simplePos="0" relativeHeight="251658752" behindDoc="0" locked="0" layoutInCell="1" allowOverlap="1" wp14:anchorId="11A9C809" wp14:editId="396BBCC3">
            <wp:simplePos x="0" y="0"/>
            <wp:positionH relativeFrom="margin">
              <wp:posOffset>3649980</wp:posOffset>
            </wp:positionH>
            <wp:positionV relativeFrom="margin">
              <wp:posOffset>-121920</wp:posOffset>
            </wp:positionV>
            <wp:extent cx="2331720" cy="769620"/>
            <wp:effectExtent l="0" t="0" r="0" b="0"/>
            <wp:wrapSquare wrapText="bothSides"/>
            <wp:docPr id="8" name="Picture 8" descr="CMS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MStag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5C8">
        <w:rPr>
          <w:rFonts w:ascii="Palatino" w:hAnsi="Palatino"/>
          <w:caps/>
          <w:sz w:val="18"/>
        </w:rPr>
        <w:t>Department of Health &amp; Human Services</w:t>
      </w:r>
    </w:p>
    <w:p w14:paraId="40FAD0CB" w14:textId="77777777" w:rsidR="00A775C8" w:rsidRDefault="00A775C8" w:rsidP="00A775C8">
      <w:pPr>
        <w:spacing w:after="8"/>
        <w:rPr>
          <w:rFonts w:ascii="Palatino" w:hAnsi="Palatino"/>
          <w:sz w:val="18"/>
        </w:rPr>
      </w:pPr>
      <w:r>
        <w:rPr>
          <w:rFonts w:ascii="Palatino" w:hAnsi="Palatino"/>
          <w:sz w:val="18"/>
        </w:rPr>
        <w:t>Centers for Medicare &amp; Medicaid Services</w:t>
      </w:r>
    </w:p>
    <w:p w14:paraId="7128CEB0" w14:textId="77777777" w:rsidR="00A775C8" w:rsidRDefault="00A775C8" w:rsidP="00A775C8">
      <w:pPr>
        <w:spacing w:after="8"/>
        <w:rPr>
          <w:rFonts w:ascii="Palatino" w:hAnsi="Palatino"/>
          <w:sz w:val="18"/>
        </w:rPr>
      </w:pPr>
      <w:r>
        <w:rPr>
          <w:rFonts w:ascii="Palatino" w:hAnsi="Palatino"/>
          <w:sz w:val="18"/>
        </w:rPr>
        <w:t xml:space="preserve">7500 Security Boulevard, Mail Stop </w:t>
      </w:r>
      <w:r>
        <w:rPr>
          <w:rFonts w:ascii="Palatino Linotype" w:hAnsi="Palatino Linotype"/>
          <w:color w:val="000000"/>
          <w:sz w:val="18"/>
          <w:szCs w:val="18"/>
        </w:rPr>
        <w:t>C2-21-16</w:t>
      </w:r>
    </w:p>
    <w:p w14:paraId="458E3910" w14:textId="77777777" w:rsidR="00A775C8" w:rsidRDefault="00A775C8" w:rsidP="00A775C8">
      <w:pPr>
        <w:spacing w:after="8"/>
        <w:rPr>
          <w:rFonts w:ascii="Palatino" w:hAnsi="Palatino"/>
          <w:sz w:val="19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" w:hAnsi="Palatino"/>
              <w:sz w:val="18"/>
            </w:rPr>
            <w:t>Baltimore</w:t>
          </w:r>
        </w:smartTag>
        <w:r>
          <w:rPr>
            <w:rFonts w:ascii="Palatino" w:hAnsi="Palatino"/>
            <w:sz w:val="18"/>
          </w:rPr>
          <w:t xml:space="preserve">, </w:t>
        </w:r>
        <w:smartTag w:uri="urn:schemas-microsoft-com:office:smarttags" w:element="State">
          <w:r>
            <w:rPr>
              <w:rFonts w:ascii="Palatino" w:hAnsi="Palatino"/>
              <w:sz w:val="18"/>
            </w:rPr>
            <w:t>Maryland</w:t>
          </w:r>
        </w:smartTag>
        <w:r>
          <w:rPr>
            <w:rFonts w:ascii="Palatino" w:hAnsi="Palatino"/>
            <w:sz w:val="18"/>
          </w:rPr>
          <w:t xml:space="preserve">   </w:t>
        </w:r>
        <w:smartTag w:uri="urn:schemas-microsoft-com:office:smarttags" w:element="PostalCode">
          <w:r>
            <w:rPr>
              <w:rFonts w:ascii="Palatino" w:hAnsi="Palatino"/>
              <w:sz w:val="18"/>
            </w:rPr>
            <w:t>21244-1850</w:t>
          </w:r>
        </w:smartTag>
      </w:smartTag>
    </w:p>
    <w:p w14:paraId="7C2FEFDA" w14:textId="77777777" w:rsidR="00A775C8" w:rsidRPr="00566730" w:rsidRDefault="00A775C8" w:rsidP="00A775C8">
      <w:pPr>
        <w:rPr>
          <w:rFonts w:ascii="Palatino" w:hAnsi="Palatino"/>
          <w:szCs w:val="24"/>
        </w:rPr>
      </w:pPr>
    </w:p>
    <w:p w14:paraId="5611849E" w14:textId="77777777" w:rsidR="00A775C8" w:rsidRDefault="00FC6434" w:rsidP="00A775C8">
      <w:pPr>
        <w:rPr>
          <w:rFonts w:ascii="Palatino" w:hAnsi="Palatino"/>
          <w:b/>
          <w:spacing w:val="-5"/>
        </w:rPr>
      </w:pPr>
      <w:r>
        <w:rPr>
          <w:rFonts w:ascii="Palatino" w:hAnsi="Palatino"/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356738" wp14:editId="1CC5BC24">
                <wp:simplePos x="0" y="0"/>
                <wp:positionH relativeFrom="column">
                  <wp:posOffset>-13335</wp:posOffset>
                </wp:positionH>
                <wp:positionV relativeFrom="paragraph">
                  <wp:posOffset>182880</wp:posOffset>
                </wp:positionV>
                <wp:extent cx="5943600" cy="0"/>
                <wp:effectExtent l="15240" t="11430" r="13335" b="76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C86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4.4pt" to="466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q3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" o:allowincell="f" strokeweight="1pt"/>
            </w:pict>
          </mc:Fallback>
        </mc:AlternateContent>
      </w:r>
      <w:r w:rsidR="00A775C8">
        <w:rPr>
          <w:rFonts w:ascii="Palatino" w:hAnsi="Palatino"/>
          <w:b/>
          <w:spacing w:val="-5"/>
        </w:rPr>
        <w:t>Center for Clinical Standards and Quality/Survey &amp; Certification Group</w:t>
      </w:r>
    </w:p>
    <w:p w14:paraId="79197624" w14:textId="77777777" w:rsidR="008A050A" w:rsidRDefault="008A050A" w:rsidP="008A050A">
      <w:pPr>
        <w:jc w:val="right"/>
        <w:rPr>
          <w:b/>
        </w:rPr>
      </w:pPr>
    </w:p>
    <w:p w14:paraId="60D62DA0" w14:textId="56935058" w:rsidR="008A050A" w:rsidRPr="00E975E6" w:rsidRDefault="00A92A8A" w:rsidP="008A050A">
      <w:pPr>
        <w:jc w:val="right"/>
        <w:rPr>
          <w:b/>
        </w:rPr>
      </w:pPr>
      <w:r>
        <w:rPr>
          <w:rFonts w:ascii="Times New Roman Bold" w:hAnsi="Times New Roman Bold"/>
          <w:b/>
          <w:spacing w:val="-5"/>
        </w:rPr>
        <w:t>Ref: S&amp;C</w:t>
      </w:r>
      <w:r w:rsidR="008A050A" w:rsidRPr="00E975E6">
        <w:rPr>
          <w:b/>
          <w:spacing w:val="-5"/>
        </w:rPr>
        <w:t xml:space="preserve"> </w:t>
      </w:r>
      <w:r w:rsidR="008A050A">
        <w:rPr>
          <w:b/>
          <w:spacing w:val="-5"/>
        </w:rPr>
        <w:t>1</w:t>
      </w:r>
      <w:r w:rsidR="00031387">
        <w:rPr>
          <w:b/>
          <w:spacing w:val="-5"/>
        </w:rPr>
        <w:t>7</w:t>
      </w:r>
      <w:r w:rsidR="008A050A">
        <w:rPr>
          <w:b/>
          <w:spacing w:val="-5"/>
        </w:rPr>
        <w:t>-</w:t>
      </w:r>
      <w:r w:rsidR="00742071">
        <w:rPr>
          <w:b/>
          <w:spacing w:val="-5"/>
        </w:rPr>
        <w:t>29</w:t>
      </w:r>
      <w:r w:rsidR="008A050A">
        <w:rPr>
          <w:b/>
          <w:spacing w:val="-5"/>
        </w:rPr>
        <w:t>-</w:t>
      </w:r>
      <w:r w:rsidR="0040147D">
        <w:rPr>
          <w:b/>
          <w:spacing w:val="-5"/>
        </w:rPr>
        <w:t>ALL</w:t>
      </w:r>
    </w:p>
    <w:p w14:paraId="13A1385B" w14:textId="553661CE" w:rsidR="008A050A" w:rsidRPr="00167DA5" w:rsidRDefault="008A050A" w:rsidP="008A050A">
      <w:pPr>
        <w:rPr>
          <w:sz w:val="28"/>
          <w:szCs w:val="28"/>
        </w:rPr>
      </w:pPr>
      <w:r w:rsidRPr="006B7F6A">
        <w:rPr>
          <w:b/>
        </w:rPr>
        <w:t xml:space="preserve">DATE:  </w:t>
      </w:r>
      <w:r>
        <w:rPr>
          <w:b/>
        </w:rPr>
        <w:tab/>
      </w:r>
      <w:r w:rsidR="00742071">
        <w:rPr>
          <w:b/>
        </w:rPr>
        <w:t>June 02</w:t>
      </w:r>
      <w:r>
        <w:rPr>
          <w:b/>
        </w:rPr>
        <w:t>, 20</w:t>
      </w:r>
      <w:r w:rsidR="0040147D">
        <w:rPr>
          <w:b/>
        </w:rPr>
        <w:t>1</w:t>
      </w:r>
      <w:r w:rsidR="00EA16E7">
        <w:rPr>
          <w:b/>
        </w:rPr>
        <w:t>7</w:t>
      </w:r>
    </w:p>
    <w:p w14:paraId="2AFBBDBF" w14:textId="77777777" w:rsidR="008A050A" w:rsidRPr="00C9122C" w:rsidRDefault="008A050A" w:rsidP="008A050A">
      <w:pPr>
        <w:rPr>
          <w:sz w:val="22"/>
          <w:szCs w:val="22"/>
        </w:rPr>
      </w:pPr>
    </w:p>
    <w:p w14:paraId="16AB1531" w14:textId="77777777" w:rsidR="008A050A" w:rsidRDefault="008A050A" w:rsidP="008A050A">
      <w:r w:rsidRPr="006B7F6A">
        <w:rPr>
          <w:b/>
        </w:rPr>
        <w:t>TO:</w:t>
      </w:r>
      <w:r w:rsidRPr="006B7F6A">
        <w:rPr>
          <w:b/>
        </w:rPr>
        <w:tab/>
      </w:r>
      <w:r>
        <w:tab/>
        <w:t>State Survey Agency Directors</w:t>
      </w:r>
    </w:p>
    <w:p w14:paraId="3C58B33F" w14:textId="77777777" w:rsidR="008A050A" w:rsidRPr="00C9122C" w:rsidRDefault="008A050A" w:rsidP="008A050A">
      <w:pPr>
        <w:rPr>
          <w:sz w:val="22"/>
          <w:szCs w:val="22"/>
        </w:rPr>
      </w:pPr>
    </w:p>
    <w:p w14:paraId="31E14570" w14:textId="77777777" w:rsidR="008A050A" w:rsidRDefault="008A050A" w:rsidP="008A050A">
      <w:r w:rsidRPr="006B7F6A">
        <w:rPr>
          <w:b/>
        </w:rPr>
        <w:t>FROM:</w:t>
      </w:r>
      <w:r>
        <w:tab/>
        <w:t>Director</w:t>
      </w:r>
    </w:p>
    <w:p w14:paraId="2A31B374" w14:textId="77777777" w:rsidR="008A050A" w:rsidRDefault="008A050A" w:rsidP="008A050A">
      <w:r>
        <w:tab/>
      </w:r>
      <w:r>
        <w:tab/>
        <w:t>Survey and Certification Group</w:t>
      </w:r>
    </w:p>
    <w:p w14:paraId="4FBE33D8" w14:textId="77777777" w:rsidR="008A050A" w:rsidRPr="00C9122C" w:rsidRDefault="008A050A" w:rsidP="008A050A">
      <w:pPr>
        <w:rPr>
          <w:sz w:val="22"/>
          <w:szCs w:val="22"/>
        </w:rPr>
      </w:pPr>
    </w:p>
    <w:p w14:paraId="4ED7C2FB" w14:textId="77777777" w:rsidR="008A050A" w:rsidRPr="00271840" w:rsidRDefault="008A050A" w:rsidP="00D156A9">
      <w:pPr>
        <w:ind w:left="1440" w:hanging="1440"/>
      </w:pPr>
      <w:r w:rsidRPr="00271840">
        <w:rPr>
          <w:b/>
        </w:rPr>
        <w:t>SUBJECT:</w:t>
      </w:r>
      <w:r w:rsidR="0040147D">
        <w:tab/>
      </w:r>
      <w:r w:rsidR="00EA16E7">
        <w:t>Advanced Copy-</w:t>
      </w:r>
      <w:r w:rsidR="0040147D">
        <w:t xml:space="preserve"> </w:t>
      </w:r>
      <w:r w:rsidR="000D4A15">
        <w:t xml:space="preserve">Appendix Z, </w:t>
      </w:r>
      <w:r w:rsidR="0040147D">
        <w:t>Emergency Preparedness</w:t>
      </w:r>
      <w:r w:rsidR="00EA16E7">
        <w:t xml:space="preserve"> Final Rule Interpretive Guidelines</w:t>
      </w:r>
      <w:r w:rsidR="000D4A15">
        <w:t xml:space="preserve"> and Survey Procedures</w:t>
      </w:r>
    </w:p>
    <w:p w14:paraId="465FE509" w14:textId="77777777" w:rsidR="008A050A" w:rsidRPr="00271840" w:rsidRDefault="000D4A15" w:rsidP="008A050A">
      <w:r w:rsidRPr="002718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9D18B8" wp14:editId="150F90B8">
                <wp:simplePos x="0" y="0"/>
                <wp:positionH relativeFrom="column">
                  <wp:posOffset>-15903</wp:posOffset>
                </wp:positionH>
                <wp:positionV relativeFrom="paragraph">
                  <wp:posOffset>194807</wp:posOffset>
                </wp:positionV>
                <wp:extent cx="6040755" cy="1693628"/>
                <wp:effectExtent l="0" t="0" r="1714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693628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65661" w14:textId="77777777" w:rsidR="00FD6E1D" w:rsidRPr="00D01BC4" w:rsidRDefault="00FD6E1D" w:rsidP="008A050A">
                            <w:pPr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D01BC4">
                              <w:rPr>
                                <w:b/>
                                <w:szCs w:val="24"/>
                                <w:u w:val="single"/>
                              </w:rPr>
                              <w:t>Memorandum Summary</w:t>
                            </w:r>
                          </w:p>
                          <w:p w14:paraId="651CBA8D" w14:textId="77777777" w:rsidR="00FD6E1D" w:rsidRPr="00271840" w:rsidRDefault="00FD6E1D" w:rsidP="008A050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A2DA1F8" w14:textId="6D650C9E" w:rsidR="00FD6E1D" w:rsidRPr="00EA16E7" w:rsidRDefault="00EA16E7" w:rsidP="008A05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Advanced Copy of Interpretive Guidelines</w:t>
                            </w:r>
                            <w:r w:rsidR="0040147D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="00FD6E1D" w:rsidRPr="00271840">
                              <w:rPr>
                                <w:b/>
                              </w:rPr>
                              <w:t xml:space="preserve"> </w:t>
                            </w:r>
                            <w:r w:rsidR="0040147D">
                              <w:t xml:space="preserve">The Centers for Medicare &amp; Medicaid Services (CMS) </w:t>
                            </w:r>
                            <w:r>
                              <w:t xml:space="preserve">is releasing </w:t>
                            </w:r>
                            <w:r w:rsidR="000D4A15">
                              <w:t xml:space="preserve">a </w:t>
                            </w:r>
                            <w:r>
                              <w:t xml:space="preserve">new Appendix Z </w:t>
                            </w:r>
                            <w:r w:rsidR="000D4A15">
                              <w:t>of</w:t>
                            </w:r>
                            <w:r>
                              <w:t xml:space="preserve"> the State Operations Manual (SOM) which contains the </w:t>
                            </w:r>
                            <w:r w:rsidR="000D4A15">
                              <w:t>i</w:t>
                            </w:r>
                            <w:r>
                              <w:t xml:space="preserve">nterpretive </w:t>
                            </w:r>
                            <w:r w:rsidR="000D4A15">
                              <w:t>g</w:t>
                            </w:r>
                            <w:r>
                              <w:t xml:space="preserve">uidelines </w:t>
                            </w:r>
                            <w:r w:rsidR="000D4A15">
                              <w:t xml:space="preserve">and survey procedures for </w:t>
                            </w:r>
                            <w:r>
                              <w:t xml:space="preserve">the Emergency Preparedness </w:t>
                            </w:r>
                            <w:r w:rsidR="000D4A15">
                              <w:t>Final Rule.</w:t>
                            </w:r>
                          </w:p>
                          <w:p w14:paraId="63AB6C67" w14:textId="47B7ABD3" w:rsidR="00FD6E1D" w:rsidRDefault="0040147D" w:rsidP="008A050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92"/>
                                <w:tab w:val="num" w:pos="540"/>
                              </w:tabs>
                              <w:ind w:left="540" w:hanging="27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Affects all 17 provider</w:t>
                            </w:r>
                            <w:r w:rsidR="00C577C3">
                              <w:rPr>
                                <w:b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and suppliers</w:t>
                            </w:r>
                            <w:r w:rsidR="00FD6E1D" w:rsidRPr="00271840">
                              <w:rPr>
                                <w:b/>
                                <w:szCs w:val="24"/>
                              </w:rPr>
                              <w:t xml:space="preserve">: </w:t>
                            </w:r>
                            <w:r w:rsidR="000D4A15">
                              <w:rPr>
                                <w:szCs w:val="24"/>
                              </w:rPr>
                              <w:t>Appendix Z applies to</w:t>
                            </w:r>
                            <w:r>
                              <w:rPr>
                                <w:szCs w:val="24"/>
                              </w:rPr>
                              <w:t xml:space="preserve"> all 17 providers and suppliers </w:t>
                            </w:r>
                            <w:r w:rsidR="000D4A15">
                              <w:rPr>
                                <w:szCs w:val="24"/>
                              </w:rPr>
                              <w:t>included in the Final Rule</w:t>
                            </w:r>
                            <w:r w:rsidR="003A1D29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D1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5.35pt;width:475.65pt;height:13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" fillcolor="#ddd">
                <v:textbox>
                  <w:txbxContent>
                    <w:p w14:paraId="63B65661" w14:textId="77777777" w:rsidR="00FD6E1D" w:rsidRPr="00D01BC4" w:rsidRDefault="00FD6E1D" w:rsidP="008A050A">
                      <w:pPr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  <w:r w:rsidRPr="00D01BC4">
                        <w:rPr>
                          <w:b/>
                          <w:szCs w:val="24"/>
                          <w:u w:val="single"/>
                        </w:rPr>
                        <w:t>Memorandum Summary</w:t>
                      </w:r>
                    </w:p>
                    <w:p w14:paraId="651CBA8D" w14:textId="77777777" w:rsidR="00FD6E1D" w:rsidRPr="00271840" w:rsidRDefault="00FD6E1D" w:rsidP="008A050A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1A2DA1F8" w14:textId="6D650C9E" w:rsidR="00FD6E1D" w:rsidRPr="00EA16E7" w:rsidRDefault="00EA16E7" w:rsidP="008A050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0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Cs w:val="24"/>
                        </w:rPr>
                        <w:t>Advanced Copy of Interpretive Guidelines</w:t>
                      </w:r>
                      <w:r w:rsidR="0040147D">
                        <w:rPr>
                          <w:b/>
                          <w:szCs w:val="24"/>
                        </w:rPr>
                        <w:t>:</w:t>
                      </w:r>
                      <w:r w:rsidR="00FD6E1D" w:rsidRPr="00271840">
                        <w:rPr>
                          <w:b/>
                        </w:rPr>
                        <w:t xml:space="preserve"> </w:t>
                      </w:r>
                      <w:r w:rsidR="0040147D">
                        <w:t xml:space="preserve">The Centers for Medicare &amp; Medicaid Services (CMS) </w:t>
                      </w:r>
                      <w:r>
                        <w:t xml:space="preserve">is releasing </w:t>
                      </w:r>
                      <w:r w:rsidR="000D4A15">
                        <w:t xml:space="preserve">a </w:t>
                      </w:r>
                      <w:r>
                        <w:t xml:space="preserve">new Appendix Z </w:t>
                      </w:r>
                      <w:r w:rsidR="000D4A15">
                        <w:t>of</w:t>
                      </w:r>
                      <w:r>
                        <w:t xml:space="preserve"> the State Operations Manual (SOM) which contains the </w:t>
                      </w:r>
                      <w:r w:rsidR="000D4A15">
                        <w:t>i</w:t>
                      </w:r>
                      <w:r>
                        <w:t xml:space="preserve">nterpretive </w:t>
                      </w:r>
                      <w:r w:rsidR="000D4A15">
                        <w:t>g</w:t>
                      </w:r>
                      <w:r>
                        <w:t xml:space="preserve">uidelines </w:t>
                      </w:r>
                      <w:r w:rsidR="000D4A15">
                        <w:t xml:space="preserve">and survey procedures for </w:t>
                      </w:r>
                      <w:r>
                        <w:t xml:space="preserve">the Emergency Preparedness </w:t>
                      </w:r>
                      <w:r w:rsidR="000D4A15">
                        <w:t>Final Rule.</w:t>
                      </w:r>
                    </w:p>
                    <w:p w14:paraId="63AB6C67" w14:textId="47B7ABD3" w:rsidR="00FD6E1D" w:rsidRDefault="0040147D" w:rsidP="008A050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92"/>
                          <w:tab w:val="num" w:pos="540"/>
                        </w:tabs>
                        <w:ind w:left="540" w:hanging="270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Affects all 17 provider</w:t>
                      </w:r>
                      <w:r w:rsidR="00C577C3">
                        <w:rPr>
                          <w:b/>
                          <w:szCs w:val="24"/>
                        </w:rPr>
                        <w:t>s</w:t>
                      </w:r>
                      <w:r>
                        <w:rPr>
                          <w:b/>
                          <w:szCs w:val="24"/>
                        </w:rPr>
                        <w:t xml:space="preserve"> and suppliers</w:t>
                      </w:r>
                      <w:r w:rsidR="00FD6E1D" w:rsidRPr="00271840">
                        <w:rPr>
                          <w:b/>
                          <w:szCs w:val="24"/>
                        </w:rPr>
                        <w:t xml:space="preserve">: </w:t>
                      </w:r>
                      <w:r w:rsidR="000D4A15">
                        <w:rPr>
                          <w:szCs w:val="24"/>
                        </w:rPr>
                        <w:t>Appendix Z applies to</w:t>
                      </w:r>
                      <w:r>
                        <w:rPr>
                          <w:szCs w:val="24"/>
                        </w:rPr>
                        <w:t xml:space="preserve"> all 17 providers and suppliers </w:t>
                      </w:r>
                      <w:r w:rsidR="000D4A15">
                        <w:rPr>
                          <w:szCs w:val="24"/>
                        </w:rPr>
                        <w:t>included in the Final Rule</w:t>
                      </w:r>
                      <w:r w:rsidR="003A1D29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7E2598B" w14:textId="77777777" w:rsidR="008A050A" w:rsidRPr="00271840" w:rsidRDefault="008A050A" w:rsidP="008A050A">
      <w:pPr>
        <w:rPr>
          <w:sz w:val="22"/>
          <w:szCs w:val="22"/>
        </w:rPr>
      </w:pPr>
    </w:p>
    <w:p w14:paraId="71920A13" w14:textId="77777777" w:rsidR="008A050A" w:rsidRPr="00271840" w:rsidRDefault="008A050A" w:rsidP="008A050A">
      <w:pPr>
        <w:rPr>
          <w:sz w:val="22"/>
          <w:szCs w:val="22"/>
        </w:rPr>
      </w:pPr>
    </w:p>
    <w:p w14:paraId="0A998047" w14:textId="77777777" w:rsidR="008A050A" w:rsidRPr="00271840" w:rsidRDefault="008A050A" w:rsidP="008A050A">
      <w:pPr>
        <w:rPr>
          <w:sz w:val="22"/>
          <w:szCs w:val="22"/>
        </w:rPr>
      </w:pPr>
    </w:p>
    <w:p w14:paraId="3DDAE38F" w14:textId="77777777" w:rsidR="008A050A" w:rsidRPr="00271840" w:rsidRDefault="008A050A" w:rsidP="008A050A">
      <w:pPr>
        <w:rPr>
          <w:sz w:val="22"/>
          <w:szCs w:val="22"/>
        </w:rPr>
      </w:pPr>
    </w:p>
    <w:p w14:paraId="1158AE88" w14:textId="77777777" w:rsidR="008A050A" w:rsidRPr="00271840" w:rsidRDefault="008A050A" w:rsidP="008A050A">
      <w:pPr>
        <w:rPr>
          <w:sz w:val="22"/>
          <w:szCs w:val="22"/>
        </w:rPr>
      </w:pPr>
    </w:p>
    <w:p w14:paraId="122C591F" w14:textId="77777777" w:rsidR="008A050A" w:rsidRPr="00271840" w:rsidRDefault="008A050A" w:rsidP="008A050A">
      <w:pPr>
        <w:rPr>
          <w:sz w:val="22"/>
          <w:szCs w:val="22"/>
        </w:rPr>
      </w:pPr>
    </w:p>
    <w:p w14:paraId="4A63B934" w14:textId="77777777" w:rsidR="008A050A" w:rsidRPr="00271840" w:rsidRDefault="008A050A" w:rsidP="008A050A">
      <w:pPr>
        <w:rPr>
          <w:sz w:val="22"/>
          <w:szCs w:val="22"/>
        </w:rPr>
      </w:pPr>
    </w:p>
    <w:p w14:paraId="6EC4C98B" w14:textId="77777777" w:rsidR="008A050A" w:rsidRPr="00271840" w:rsidRDefault="008A050A" w:rsidP="008A050A">
      <w:pPr>
        <w:rPr>
          <w:sz w:val="22"/>
          <w:szCs w:val="22"/>
        </w:rPr>
      </w:pPr>
    </w:p>
    <w:p w14:paraId="0E74C88B" w14:textId="77777777" w:rsidR="008A050A" w:rsidRPr="00271840" w:rsidRDefault="008A050A" w:rsidP="008A050A">
      <w:pPr>
        <w:rPr>
          <w:sz w:val="22"/>
          <w:szCs w:val="22"/>
        </w:rPr>
      </w:pPr>
    </w:p>
    <w:p w14:paraId="313E3777" w14:textId="77777777" w:rsidR="008A050A" w:rsidRPr="00271840" w:rsidRDefault="008A050A" w:rsidP="008A050A">
      <w:pPr>
        <w:rPr>
          <w:sz w:val="16"/>
          <w:szCs w:val="16"/>
        </w:rPr>
      </w:pPr>
    </w:p>
    <w:p w14:paraId="3AE2A832" w14:textId="77777777" w:rsidR="008A050A" w:rsidRPr="00271840" w:rsidRDefault="008A050A" w:rsidP="008A050A">
      <w:pPr>
        <w:rPr>
          <w:szCs w:val="24"/>
        </w:rPr>
      </w:pPr>
    </w:p>
    <w:p w14:paraId="3B595D2B" w14:textId="77777777" w:rsidR="000D4A15" w:rsidRDefault="000D4A15" w:rsidP="008A050A">
      <w:pPr>
        <w:rPr>
          <w:b/>
          <w:szCs w:val="24"/>
          <w:u w:val="single"/>
        </w:rPr>
      </w:pPr>
    </w:p>
    <w:p w14:paraId="6E581701" w14:textId="77777777" w:rsidR="008A050A" w:rsidRPr="0040147D" w:rsidRDefault="0040147D" w:rsidP="008A050A">
      <w:pPr>
        <w:rPr>
          <w:b/>
          <w:szCs w:val="24"/>
          <w:u w:val="single"/>
        </w:rPr>
      </w:pPr>
      <w:r w:rsidRPr="0040147D">
        <w:rPr>
          <w:b/>
          <w:szCs w:val="24"/>
          <w:u w:val="single"/>
        </w:rPr>
        <w:t>Background</w:t>
      </w:r>
    </w:p>
    <w:p w14:paraId="44778024" w14:textId="77777777" w:rsidR="0040147D" w:rsidRDefault="0040147D" w:rsidP="008A050A">
      <w:pPr>
        <w:rPr>
          <w:szCs w:val="24"/>
        </w:rPr>
      </w:pPr>
    </w:p>
    <w:p w14:paraId="377BCBCE" w14:textId="77777777" w:rsidR="00EA16E7" w:rsidRDefault="0040147D" w:rsidP="0040147D">
      <w:pPr>
        <w:rPr>
          <w:szCs w:val="24"/>
        </w:rPr>
      </w:pPr>
      <w:r w:rsidRPr="0040147D">
        <w:rPr>
          <w:szCs w:val="24"/>
        </w:rPr>
        <w:t>On September</w:t>
      </w:r>
      <w:r>
        <w:rPr>
          <w:szCs w:val="24"/>
        </w:rPr>
        <w:t xml:space="preserve"> 16</w:t>
      </w:r>
      <w:r w:rsidRPr="0040147D">
        <w:rPr>
          <w:szCs w:val="24"/>
        </w:rPr>
        <w:t>, 2016</w:t>
      </w:r>
      <w:r>
        <w:rPr>
          <w:szCs w:val="24"/>
        </w:rPr>
        <w:t xml:space="preserve">, </w:t>
      </w:r>
      <w:r w:rsidRPr="0040147D">
        <w:rPr>
          <w:szCs w:val="24"/>
        </w:rPr>
        <w:t xml:space="preserve">the final rule </w:t>
      </w:r>
      <w:r>
        <w:rPr>
          <w:szCs w:val="24"/>
        </w:rPr>
        <w:t xml:space="preserve">on </w:t>
      </w:r>
      <w:r w:rsidRPr="0040147D">
        <w:rPr>
          <w:szCs w:val="24"/>
        </w:rPr>
        <w:t>Emergency Preparedness Requirements for Medicare and Medicaid Participating Providers and Suppliers</w:t>
      </w:r>
      <w:r>
        <w:rPr>
          <w:szCs w:val="24"/>
        </w:rPr>
        <w:t xml:space="preserve"> was published</w:t>
      </w:r>
      <w:r w:rsidR="00AE058A">
        <w:rPr>
          <w:szCs w:val="24"/>
        </w:rPr>
        <w:t xml:space="preserve"> (</w:t>
      </w:r>
      <w:r w:rsidR="00ED2B82">
        <w:rPr>
          <w:szCs w:val="24"/>
        </w:rPr>
        <w:t xml:space="preserve">Federal Register </w:t>
      </w:r>
      <w:r w:rsidR="00AE058A">
        <w:rPr>
          <w:rFonts w:ascii="Melior" w:eastAsia="Calibri" w:hAnsi="Melior" w:cs="Melior"/>
        </w:rPr>
        <w:t>Vol. 81, No. 180)</w:t>
      </w:r>
      <w:r>
        <w:rPr>
          <w:szCs w:val="24"/>
        </w:rPr>
        <w:t xml:space="preserve">. </w:t>
      </w:r>
      <w:r w:rsidR="00C90AE8">
        <w:rPr>
          <w:szCs w:val="24"/>
        </w:rPr>
        <w:t xml:space="preserve">This rule affects all 17 provider and supplier types </w:t>
      </w:r>
      <w:r w:rsidR="00824414">
        <w:rPr>
          <w:szCs w:val="24"/>
        </w:rPr>
        <w:t>eligible</w:t>
      </w:r>
      <w:r w:rsidR="00C90AE8">
        <w:rPr>
          <w:szCs w:val="24"/>
        </w:rPr>
        <w:t xml:space="preserve"> for participation in Medicare.  </w:t>
      </w:r>
      <w:r w:rsidR="006737E6">
        <w:rPr>
          <w:szCs w:val="24"/>
        </w:rPr>
        <w:t>The rule bec</w:t>
      </w:r>
      <w:r w:rsidR="00EE28E9">
        <w:rPr>
          <w:szCs w:val="24"/>
        </w:rPr>
        <w:t>a</w:t>
      </w:r>
      <w:r w:rsidR="006737E6">
        <w:rPr>
          <w:szCs w:val="24"/>
        </w:rPr>
        <w:t>me effective on November 15, 2016</w:t>
      </w:r>
      <w:r w:rsidR="00EE28E9">
        <w:rPr>
          <w:szCs w:val="24"/>
        </w:rPr>
        <w:t xml:space="preserve"> and will be implemented on November 15, 2017</w:t>
      </w:r>
      <w:r w:rsidR="006737E6">
        <w:rPr>
          <w:szCs w:val="24"/>
        </w:rPr>
        <w:t xml:space="preserve">.  </w:t>
      </w:r>
    </w:p>
    <w:p w14:paraId="2FB67111" w14:textId="112FB066" w:rsidR="00AE058A" w:rsidRDefault="0040147D" w:rsidP="0040147D">
      <w:pPr>
        <w:rPr>
          <w:b/>
          <w:u w:val="single"/>
        </w:rPr>
      </w:pPr>
      <w:r>
        <w:rPr>
          <w:szCs w:val="24"/>
        </w:rPr>
        <w:t xml:space="preserve"> </w:t>
      </w:r>
    </w:p>
    <w:p w14:paraId="051C6D06" w14:textId="77777777" w:rsidR="0040147D" w:rsidRDefault="00BB71C7" w:rsidP="0040147D">
      <w:pPr>
        <w:rPr>
          <w:b/>
          <w:u w:val="single"/>
        </w:rPr>
      </w:pPr>
      <w:r>
        <w:rPr>
          <w:b/>
          <w:u w:val="single"/>
        </w:rPr>
        <w:t>Interpretive Guidance</w:t>
      </w:r>
    </w:p>
    <w:p w14:paraId="2E8F3C79" w14:textId="77777777" w:rsidR="0040147D" w:rsidRDefault="0040147D" w:rsidP="0040147D">
      <w:pPr>
        <w:rPr>
          <w:b/>
          <w:u w:val="single"/>
        </w:rPr>
      </w:pPr>
    </w:p>
    <w:p w14:paraId="480FB7C3" w14:textId="77777777" w:rsidR="00204B7C" w:rsidRDefault="00EA16E7" w:rsidP="0040147D">
      <w:r>
        <w:t>An advanced copy of the interpretive</w:t>
      </w:r>
      <w:r w:rsidR="00BB71C7">
        <w:t xml:space="preserve"> guidelines and survey procedures </w:t>
      </w:r>
      <w:r>
        <w:t>is available and will be incorporated into the SOM under Appendix Z and applies to all 17 provider and supplier types. Since the Conditions of Participation (</w:t>
      </w:r>
      <w:proofErr w:type="spellStart"/>
      <w:r>
        <w:t>CoPs</w:t>
      </w:r>
      <w:proofErr w:type="spellEnd"/>
      <w:r>
        <w:t>), Conditions for Coverage (</w:t>
      </w:r>
      <w:proofErr w:type="spellStart"/>
      <w:r>
        <w:t>CfCs</w:t>
      </w:r>
      <w:proofErr w:type="spellEnd"/>
      <w:r>
        <w:t xml:space="preserve">) and requirements apply across providers and suppliers and only vary slightly, CMS has compiled the requirements under one appendix. </w:t>
      </w:r>
    </w:p>
    <w:p w14:paraId="1E098A76" w14:textId="77777777" w:rsidR="00204B7C" w:rsidRDefault="00204B7C" w:rsidP="00204B7C">
      <w:pPr>
        <w:rPr>
          <w:szCs w:val="24"/>
        </w:rPr>
      </w:pPr>
    </w:p>
    <w:p w14:paraId="43A5776E" w14:textId="55108ECC" w:rsidR="007D4336" w:rsidRPr="00204B7C" w:rsidRDefault="00204B7C" w:rsidP="0040147D">
      <w:pPr>
        <w:rPr>
          <w:b/>
        </w:rPr>
      </w:pPr>
      <w:r w:rsidRPr="00204B7C">
        <w:rPr>
          <w:b/>
        </w:rPr>
        <w:t xml:space="preserve">Note: For ease of understanding the guidelines, we have kept this copy as a clean copy without red italics. The </w:t>
      </w:r>
      <w:r w:rsidR="00BA4E48">
        <w:rPr>
          <w:b/>
        </w:rPr>
        <w:t>final version that will be</w:t>
      </w:r>
      <w:r w:rsidRPr="00204B7C">
        <w:rPr>
          <w:b/>
        </w:rPr>
        <w:t xml:space="preserve"> incorporated into the </w:t>
      </w:r>
      <w:r w:rsidR="00BA4E48">
        <w:rPr>
          <w:b/>
        </w:rPr>
        <w:t xml:space="preserve">on-line </w:t>
      </w:r>
      <w:r w:rsidRPr="00204B7C">
        <w:rPr>
          <w:b/>
        </w:rPr>
        <w:t xml:space="preserve">SOM may </w:t>
      </w:r>
      <w:r w:rsidR="00BA4E48">
        <w:rPr>
          <w:b/>
        </w:rPr>
        <w:t xml:space="preserve">vary </w:t>
      </w:r>
      <w:r w:rsidRPr="00204B7C">
        <w:rPr>
          <w:b/>
        </w:rPr>
        <w:t xml:space="preserve">slightly. </w:t>
      </w:r>
      <w:r w:rsidR="009E3DDE">
        <w:rPr>
          <w:b/>
        </w:rPr>
        <w:t xml:space="preserve">The final </w:t>
      </w:r>
      <w:r w:rsidR="00742071">
        <w:rPr>
          <w:b/>
        </w:rPr>
        <w:t>SOM version is the final policy.</w:t>
      </w:r>
    </w:p>
    <w:p w14:paraId="3DE38EA1" w14:textId="77777777" w:rsidR="00EA16E7" w:rsidRDefault="00EA16E7" w:rsidP="0040147D"/>
    <w:p w14:paraId="0FD3B441" w14:textId="77777777" w:rsidR="003A1D29" w:rsidRDefault="003A1D29" w:rsidP="003A1D29">
      <w:pPr>
        <w:rPr>
          <w:szCs w:val="24"/>
        </w:rPr>
      </w:pPr>
      <w:r w:rsidRPr="00271840">
        <w:rPr>
          <w:szCs w:val="24"/>
        </w:rPr>
        <w:lastRenderedPageBreak/>
        <w:t xml:space="preserve">Page 2 – State Survey Agency Directors </w:t>
      </w:r>
    </w:p>
    <w:p w14:paraId="47B6DC48" w14:textId="77777777" w:rsidR="003A1D29" w:rsidRPr="00271840" w:rsidRDefault="003A1D29" w:rsidP="003A1D29">
      <w:pPr>
        <w:rPr>
          <w:szCs w:val="24"/>
        </w:rPr>
      </w:pPr>
    </w:p>
    <w:p w14:paraId="5DE37DE5" w14:textId="4BE804DE" w:rsidR="00EA16E7" w:rsidRDefault="00EA16E7" w:rsidP="0040147D">
      <w:pPr>
        <w:rPr>
          <w:b/>
          <w:u w:val="single"/>
        </w:rPr>
      </w:pPr>
      <w:r>
        <w:rPr>
          <w:b/>
          <w:u w:val="single"/>
        </w:rPr>
        <w:t>Understanding the Tags for Surveyors</w:t>
      </w:r>
    </w:p>
    <w:p w14:paraId="7B619800" w14:textId="77777777" w:rsidR="00EA16E7" w:rsidRDefault="00EA16E7" w:rsidP="0040147D">
      <w:pPr>
        <w:rPr>
          <w:b/>
          <w:u w:val="single"/>
        </w:rPr>
      </w:pPr>
    </w:p>
    <w:p w14:paraId="6A1121B9" w14:textId="0647A40C" w:rsidR="00EA16E7" w:rsidRPr="00EE3770" w:rsidRDefault="00EA16E7" w:rsidP="0040147D">
      <w:pPr>
        <w:rPr>
          <w:b/>
        </w:rPr>
      </w:pPr>
      <w:r>
        <w:t xml:space="preserve">Similar to how Life Safety Code (LSC) </w:t>
      </w:r>
      <w:r w:rsidR="00854693">
        <w:t xml:space="preserve">requirements have a </w:t>
      </w:r>
      <w:r w:rsidR="00EE3770">
        <w:t>s</w:t>
      </w:r>
      <w:r>
        <w:t xml:space="preserve">et of </w:t>
      </w:r>
      <w:r w:rsidR="00854693">
        <w:t>K-</w:t>
      </w:r>
      <w:r>
        <w:t xml:space="preserve">Tags </w:t>
      </w:r>
      <w:r w:rsidR="00854693">
        <w:t xml:space="preserve">that are utilized </w:t>
      </w:r>
      <w:r>
        <w:t xml:space="preserve">for citations </w:t>
      </w:r>
      <w:r w:rsidR="00854693">
        <w:t>for multiple</w:t>
      </w:r>
      <w:r>
        <w:t xml:space="preserve"> provider and supplier</w:t>
      </w:r>
      <w:r w:rsidR="00854693">
        <w:t xml:space="preserve"> types</w:t>
      </w:r>
      <w:r>
        <w:t xml:space="preserve">, </w:t>
      </w:r>
      <w:r w:rsidR="00854693">
        <w:t xml:space="preserve">the </w:t>
      </w:r>
      <w:r w:rsidR="00AC1B50">
        <w:t>e</w:t>
      </w:r>
      <w:r w:rsidR="00854693">
        <w:t xml:space="preserve">mergency </w:t>
      </w:r>
      <w:r w:rsidR="00AC1B50">
        <w:t>p</w:t>
      </w:r>
      <w:r w:rsidR="00854693">
        <w:t xml:space="preserve">reparedness requirements will have a set of </w:t>
      </w:r>
      <w:r w:rsidR="00AC1B50">
        <w:t>t</w:t>
      </w:r>
      <w:r w:rsidR="00854693">
        <w:t xml:space="preserve">ags that will be utilized to cite non-compliance for all 17 provider and supplier types included in the final rule.  </w:t>
      </w:r>
      <w:r>
        <w:t xml:space="preserve"> The </w:t>
      </w:r>
      <w:r w:rsidR="00AC1B50">
        <w:t>t</w:t>
      </w:r>
      <w:r>
        <w:t xml:space="preserve">ags for </w:t>
      </w:r>
      <w:r w:rsidR="00AC1B50">
        <w:t>e</w:t>
      </w:r>
      <w:r>
        <w:t xml:space="preserve">mergency </w:t>
      </w:r>
      <w:r w:rsidR="00AC1B50">
        <w:t>p</w:t>
      </w:r>
      <w:r>
        <w:t xml:space="preserve">reparedness will be “E” Tags and accessible to both health and safety surveyors and LSC Surveyors. </w:t>
      </w:r>
      <w:r w:rsidR="00854693">
        <w:t>State survey agencies will have discretion regarding whether the LSC or health and safety surveyors</w:t>
      </w:r>
      <w:r>
        <w:t xml:space="preserve"> will conduct the </w:t>
      </w:r>
      <w:r w:rsidR="00AC1B50">
        <w:t>e</w:t>
      </w:r>
      <w:r>
        <w:t xml:space="preserve">mergency </w:t>
      </w:r>
      <w:r w:rsidR="00AC1B50">
        <w:t>p</w:t>
      </w:r>
      <w:r>
        <w:t xml:space="preserve">reparedness </w:t>
      </w:r>
      <w:r w:rsidR="00AC1B50">
        <w:t>s</w:t>
      </w:r>
      <w:r>
        <w:t xml:space="preserve">urveys. </w:t>
      </w:r>
      <w:r w:rsidR="00EE3770" w:rsidRPr="00EE3770">
        <w:rPr>
          <w:b/>
        </w:rPr>
        <w:t xml:space="preserve">Note: Surveying for compliance </w:t>
      </w:r>
      <w:r w:rsidR="00EE3770">
        <w:rPr>
          <w:b/>
        </w:rPr>
        <w:t xml:space="preserve">with the emergency preparedness requirements </w:t>
      </w:r>
      <w:bookmarkStart w:id="0" w:name="_GoBack"/>
      <w:bookmarkEnd w:id="0"/>
      <w:r w:rsidR="00EE3770" w:rsidRPr="00EE3770">
        <w:rPr>
          <w:b/>
        </w:rPr>
        <w:t>does not begin before November 15, 2017.</w:t>
      </w:r>
    </w:p>
    <w:p w14:paraId="2E479B70" w14:textId="77777777" w:rsidR="00204B7C" w:rsidRDefault="00204B7C" w:rsidP="0040147D"/>
    <w:p w14:paraId="2763294F" w14:textId="77777777" w:rsidR="006C4988" w:rsidRDefault="00204B7C" w:rsidP="0040147D">
      <w:r>
        <w:t xml:space="preserve">The </w:t>
      </w:r>
      <w:r w:rsidR="00AC1B50">
        <w:t xml:space="preserve">current </w:t>
      </w:r>
      <w:r>
        <w:t>survey process</w:t>
      </w:r>
      <w:r w:rsidR="00AC1B50">
        <w:t>es</w:t>
      </w:r>
      <w:r>
        <w:t xml:space="preserve"> </w:t>
      </w:r>
      <w:r w:rsidR="002B3205">
        <w:t xml:space="preserve">and enforcement </w:t>
      </w:r>
      <w:r w:rsidR="00AC1B50">
        <w:t>procedures for each provider and supplier type</w:t>
      </w:r>
      <w:r w:rsidR="002B3205">
        <w:t xml:space="preserve"> </w:t>
      </w:r>
      <w:r>
        <w:t>will remain the same</w:t>
      </w:r>
      <w:r w:rsidR="00E65401">
        <w:t>.</w:t>
      </w:r>
      <w:r w:rsidR="006C4988">
        <w:t xml:space="preserve"> </w:t>
      </w:r>
    </w:p>
    <w:p w14:paraId="54A79455" w14:textId="77777777" w:rsidR="006C4988" w:rsidRDefault="006C4988" w:rsidP="0040147D"/>
    <w:p w14:paraId="27559CB2" w14:textId="235626BD" w:rsidR="00EE6BC6" w:rsidRDefault="006C4988" w:rsidP="004860EC">
      <w:pPr>
        <w:rPr>
          <w:rFonts w:cs="Arial"/>
          <w:lang w:val="en"/>
        </w:rPr>
      </w:pPr>
      <w:r>
        <w:t xml:space="preserve">We </w:t>
      </w:r>
      <w:r w:rsidR="00F52C92">
        <w:t>will also be posting an E</w:t>
      </w:r>
      <w:r>
        <w:t>xcel Spreadsheet in which surveyors may filter by their provider/supplier types by selecting “yes” to determine which tags apply to which provider.</w:t>
      </w:r>
      <w:r w:rsidR="00F52C92">
        <w:t xml:space="preserve"> The location of the document will be </w:t>
      </w:r>
      <w:hyperlink r:id="rId8" w:history="1">
        <w:r w:rsidR="00F52C92" w:rsidRPr="00A90CBE">
          <w:rPr>
            <w:rStyle w:val="Hyperlink"/>
          </w:rPr>
          <w:t>https://www.cms.gov/Medicare/Provider-Enrollment-and-Certification/SurveyCertEmergPrep/Emergency-Prep-Rule.html</w:t>
        </w:r>
      </w:hyperlink>
      <w:r w:rsidR="00F52C92">
        <w:t>, under downloads.</w:t>
      </w:r>
      <w:r>
        <w:t xml:space="preserve"> </w:t>
      </w:r>
    </w:p>
    <w:p w14:paraId="22FF6F22" w14:textId="77777777" w:rsidR="00345957" w:rsidRDefault="00345957" w:rsidP="004860EC">
      <w:pPr>
        <w:rPr>
          <w:rFonts w:cs="Arial"/>
          <w:lang w:val="en"/>
        </w:rPr>
      </w:pPr>
    </w:p>
    <w:p w14:paraId="1A691163" w14:textId="366ECF76" w:rsidR="00180C84" w:rsidRDefault="00180C84" w:rsidP="00B032F5">
      <w:pPr>
        <w:textAlignment w:val="baseline"/>
      </w:pPr>
      <w:r>
        <w:rPr>
          <w:b/>
        </w:rPr>
        <w:t>Contact:</w:t>
      </w:r>
      <w:r>
        <w:t xml:space="preserve"> For questions regarding the Emergency Preparedness Rule, please contact </w:t>
      </w:r>
      <w:hyperlink r:id="rId9" w:history="1">
        <w:r>
          <w:rPr>
            <w:rStyle w:val="Hyperlink"/>
          </w:rPr>
          <w:t>SCGEmergencyPrep@cms.hhs.gov</w:t>
        </w:r>
      </w:hyperlink>
      <w:r>
        <w:t xml:space="preserve">.  </w:t>
      </w:r>
    </w:p>
    <w:p w14:paraId="4BCCC9B2" w14:textId="77777777" w:rsidR="00180C84" w:rsidRDefault="00180C84" w:rsidP="008A050A">
      <w:pPr>
        <w:rPr>
          <w:b/>
          <w:szCs w:val="24"/>
        </w:rPr>
      </w:pPr>
    </w:p>
    <w:p w14:paraId="0A629D7D" w14:textId="77777777" w:rsidR="008A050A" w:rsidRPr="00271840" w:rsidRDefault="008A050A" w:rsidP="008A050A">
      <w:pPr>
        <w:rPr>
          <w:szCs w:val="24"/>
        </w:rPr>
      </w:pPr>
      <w:r w:rsidRPr="00271840">
        <w:rPr>
          <w:b/>
          <w:szCs w:val="24"/>
        </w:rPr>
        <w:t>Effective Date:</w:t>
      </w:r>
      <w:r w:rsidRPr="00271840">
        <w:rPr>
          <w:szCs w:val="24"/>
        </w:rPr>
        <w:t xml:space="preserve">  Immediately.  This policy should be communicated with all survey and certification staff, their managers and the State/Regional Office training coordinators within 30 days of this memorandum. </w:t>
      </w:r>
    </w:p>
    <w:p w14:paraId="04408680" w14:textId="77777777" w:rsidR="008A050A" w:rsidRDefault="008A050A" w:rsidP="008A050A">
      <w:pPr>
        <w:tabs>
          <w:tab w:val="left" w:pos="1220"/>
        </w:tabs>
        <w:rPr>
          <w:szCs w:val="24"/>
        </w:rPr>
      </w:pPr>
      <w:r w:rsidRPr="00271840">
        <w:rPr>
          <w:szCs w:val="24"/>
        </w:rPr>
        <w:tab/>
      </w:r>
    </w:p>
    <w:p w14:paraId="3A7497EB" w14:textId="77777777" w:rsidR="008A050A" w:rsidRPr="00271840" w:rsidRDefault="008A050A" w:rsidP="008A050A">
      <w:pPr>
        <w:rPr>
          <w:szCs w:val="24"/>
        </w:rPr>
      </w:pPr>
      <w:r w:rsidRPr="00271840">
        <w:rPr>
          <w:szCs w:val="24"/>
        </w:rPr>
        <w:tab/>
      </w:r>
      <w:r w:rsidRPr="00271840">
        <w:rPr>
          <w:szCs w:val="24"/>
        </w:rPr>
        <w:tab/>
      </w:r>
      <w:r w:rsidRPr="00271840">
        <w:rPr>
          <w:szCs w:val="24"/>
        </w:rPr>
        <w:tab/>
      </w:r>
      <w:r w:rsidRPr="00271840">
        <w:rPr>
          <w:szCs w:val="24"/>
        </w:rPr>
        <w:tab/>
      </w:r>
      <w:r w:rsidRPr="00271840">
        <w:rPr>
          <w:szCs w:val="24"/>
        </w:rPr>
        <w:tab/>
      </w:r>
      <w:r w:rsidRPr="00271840">
        <w:rPr>
          <w:szCs w:val="24"/>
        </w:rPr>
        <w:tab/>
      </w:r>
      <w:r w:rsidRPr="00271840">
        <w:rPr>
          <w:szCs w:val="24"/>
        </w:rPr>
        <w:tab/>
        <w:t>/s/</w:t>
      </w:r>
    </w:p>
    <w:p w14:paraId="25F4EDC9" w14:textId="77777777" w:rsidR="008A050A" w:rsidRPr="00271840" w:rsidRDefault="00FD5C38" w:rsidP="008A050A">
      <w:pPr>
        <w:ind w:left="3600" w:firstLine="720"/>
        <w:rPr>
          <w:szCs w:val="24"/>
        </w:rPr>
      </w:pPr>
      <w:r w:rsidRPr="00271840">
        <w:rPr>
          <w:szCs w:val="24"/>
        </w:rPr>
        <w:t>David R. Wright</w:t>
      </w:r>
    </w:p>
    <w:p w14:paraId="40530293" w14:textId="77777777" w:rsidR="008A050A" w:rsidRPr="00271840" w:rsidRDefault="008A050A" w:rsidP="008A050A">
      <w:pPr>
        <w:rPr>
          <w:szCs w:val="24"/>
        </w:rPr>
      </w:pPr>
    </w:p>
    <w:p w14:paraId="4B9690FA" w14:textId="19176E3A" w:rsidR="00204B7C" w:rsidRDefault="00204B7C" w:rsidP="00F52C92">
      <w:pPr>
        <w:rPr>
          <w:szCs w:val="24"/>
        </w:rPr>
      </w:pPr>
      <w:r>
        <w:rPr>
          <w:szCs w:val="24"/>
        </w:rPr>
        <w:t>Attachment</w:t>
      </w:r>
      <w:r w:rsidR="00F52C92">
        <w:rPr>
          <w:szCs w:val="24"/>
        </w:rPr>
        <w:t>-</w:t>
      </w:r>
      <w:r>
        <w:rPr>
          <w:szCs w:val="24"/>
        </w:rPr>
        <w:t xml:space="preserve"> Advanced Copy Appendix Z, Emergency Preparedness Interpretive Guidelines</w:t>
      </w:r>
    </w:p>
    <w:p w14:paraId="6A449CE9" w14:textId="77777777" w:rsidR="00204B7C" w:rsidRDefault="00204B7C" w:rsidP="00204B7C">
      <w:pPr>
        <w:rPr>
          <w:szCs w:val="24"/>
        </w:rPr>
      </w:pPr>
    </w:p>
    <w:p w14:paraId="65448B88" w14:textId="77777777" w:rsidR="00FF342C" w:rsidRDefault="00204B7C">
      <w:pPr>
        <w:rPr>
          <w:szCs w:val="24"/>
        </w:rPr>
      </w:pPr>
      <w:r w:rsidRPr="00381EE6">
        <w:rPr>
          <w:szCs w:val="24"/>
        </w:rPr>
        <w:t>cc:  Survey and Certification Regional Office Management</w:t>
      </w:r>
    </w:p>
    <w:p w14:paraId="4B93B68C" w14:textId="77777777" w:rsidR="003A1D29" w:rsidRDefault="003A1D29">
      <w:pPr>
        <w:rPr>
          <w:szCs w:val="24"/>
        </w:rPr>
      </w:pPr>
    </w:p>
    <w:p w14:paraId="62C8C016" w14:textId="77777777" w:rsidR="003A1D29" w:rsidRDefault="003A1D29" w:rsidP="003A1D29">
      <w:pPr>
        <w:ind w:left="270"/>
        <w:jc w:val="center"/>
        <w:rPr>
          <w:i/>
        </w:rPr>
      </w:pPr>
      <w:r>
        <w:rPr>
          <w:rFonts w:eastAsia="Calibri"/>
          <w:i/>
          <w:color w:val="000000"/>
        </w:rPr>
        <w:t>The contents of this letter support activities or actions to improve patient or resident safety and increase quality and reliability of care for better outcomes.</w:t>
      </w:r>
    </w:p>
    <w:p w14:paraId="7CCEE6DB" w14:textId="77777777" w:rsidR="003A1D29" w:rsidRDefault="003A1D29"/>
    <w:sectPr w:rsidR="003A1D29" w:rsidSect="00FF342C">
      <w:headerReference w:type="first" r:id="rId10"/>
      <w:pgSz w:w="12240" w:h="15840"/>
      <w:pgMar w:top="720" w:right="1440" w:bottom="1440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BC2DC" w14:textId="77777777" w:rsidR="00E303A4" w:rsidRDefault="00E303A4">
      <w:r>
        <w:separator/>
      </w:r>
    </w:p>
  </w:endnote>
  <w:endnote w:type="continuationSeparator" w:id="0">
    <w:p w14:paraId="4EFCD69D" w14:textId="77777777" w:rsidR="00E303A4" w:rsidRDefault="00E3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EF8D" w14:textId="77777777" w:rsidR="00E303A4" w:rsidRDefault="00E303A4">
      <w:r>
        <w:separator/>
      </w:r>
    </w:p>
  </w:footnote>
  <w:footnote w:type="continuationSeparator" w:id="0">
    <w:p w14:paraId="6E56BED0" w14:textId="77777777" w:rsidR="00E303A4" w:rsidRDefault="00E3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015E" w14:textId="77777777" w:rsidR="00FD6E1D" w:rsidRDefault="00FD6E1D" w:rsidP="00FF342C"/>
  <w:p w14:paraId="32C56D0F" w14:textId="77777777" w:rsidR="00FD6E1D" w:rsidRDefault="00FD6E1D">
    <w:pPr>
      <w:pStyle w:val="Header"/>
    </w:pPr>
  </w:p>
  <w:p w14:paraId="5AF5A04E" w14:textId="77777777" w:rsidR="00FD6E1D" w:rsidRDefault="00FD6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009C4"/>
    <w:multiLevelType w:val="hybridMultilevel"/>
    <w:tmpl w:val="D0D62E98"/>
    <w:lvl w:ilvl="0" w:tplc="9FAAEAAA">
      <w:start w:val="1"/>
      <w:numFmt w:val="bullet"/>
      <w:lvlText w:val="•"/>
      <w:lvlJc w:val="left"/>
      <w:pPr>
        <w:tabs>
          <w:tab w:val="num" w:pos="504"/>
        </w:tabs>
        <w:ind w:left="576" w:hanging="288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6F0B5349"/>
    <w:multiLevelType w:val="hybridMultilevel"/>
    <w:tmpl w:val="A1C21AD6"/>
    <w:lvl w:ilvl="0" w:tplc="D8CEF186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708A20BE"/>
    <w:multiLevelType w:val="hybridMultilevel"/>
    <w:tmpl w:val="8F32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67433"/>
    <w:multiLevelType w:val="hybridMultilevel"/>
    <w:tmpl w:val="B07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0A"/>
    <w:rsid w:val="00031387"/>
    <w:rsid w:val="000316DC"/>
    <w:rsid w:val="0005009D"/>
    <w:rsid w:val="000A04F8"/>
    <w:rsid w:val="000A742F"/>
    <w:rsid w:val="000D4A15"/>
    <w:rsid w:val="00177580"/>
    <w:rsid w:val="00180C84"/>
    <w:rsid w:val="00185332"/>
    <w:rsid w:val="001A2F4A"/>
    <w:rsid w:val="001D7BDA"/>
    <w:rsid w:val="002049D8"/>
    <w:rsid w:val="00204B7C"/>
    <w:rsid w:val="00226A41"/>
    <w:rsid w:val="00271840"/>
    <w:rsid w:val="002727E9"/>
    <w:rsid w:val="002A6239"/>
    <w:rsid w:val="002B3205"/>
    <w:rsid w:val="002B628A"/>
    <w:rsid w:val="00345957"/>
    <w:rsid w:val="00385D50"/>
    <w:rsid w:val="00394532"/>
    <w:rsid w:val="003A1D29"/>
    <w:rsid w:val="003D2FA3"/>
    <w:rsid w:val="0040147D"/>
    <w:rsid w:val="004453A1"/>
    <w:rsid w:val="00467016"/>
    <w:rsid w:val="004860EC"/>
    <w:rsid w:val="004947E8"/>
    <w:rsid w:val="00500AD4"/>
    <w:rsid w:val="00531D4F"/>
    <w:rsid w:val="00552C93"/>
    <w:rsid w:val="0056682E"/>
    <w:rsid w:val="00577985"/>
    <w:rsid w:val="005C7EF7"/>
    <w:rsid w:val="00635DEA"/>
    <w:rsid w:val="00636BC0"/>
    <w:rsid w:val="006526DB"/>
    <w:rsid w:val="006737E6"/>
    <w:rsid w:val="006C4988"/>
    <w:rsid w:val="007415C4"/>
    <w:rsid w:val="00742071"/>
    <w:rsid w:val="007A466C"/>
    <w:rsid w:val="007D4336"/>
    <w:rsid w:val="00824414"/>
    <w:rsid w:val="008513D2"/>
    <w:rsid w:val="00854693"/>
    <w:rsid w:val="008A016E"/>
    <w:rsid w:val="008A050A"/>
    <w:rsid w:val="00915042"/>
    <w:rsid w:val="00915B25"/>
    <w:rsid w:val="009172D4"/>
    <w:rsid w:val="0097661D"/>
    <w:rsid w:val="009E3DDE"/>
    <w:rsid w:val="00A17A74"/>
    <w:rsid w:val="00A202F5"/>
    <w:rsid w:val="00A775C8"/>
    <w:rsid w:val="00A92A8A"/>
    <w:rsid w:val="00AC1B50"/>
    <w:rsid w:val="00AD5B44"/>
    <w:rsid w:val="00AE058A"/>
    <w:rsid w:val="00AE32C2"/>
    <w:rsid w:val="00AF65F9"/>
    <w:rsid w:val="00B02CE6"/>
    <w:rsid w:val="00B032F5"/>
    <w:rsid w:val="00B225E6"/>
    <w:rsid w:val="00B56E4F"/>
    <w:rsid w:val="00BA4E48"/>
    <w:rsid w:val="00BB71C7"/>
    <w:rsid w:val="00BD72A5"/>
    <w:rsid w:val="00BE56BF"/>
    <w:rsid w:val="00C157D6"/>
    <w:rsid w:val="00C338AE"/>
    <w:rsid w:val="00C577C3"/>
    <w:rsid w:val="00C81105"/>
    <w:rsid w:val="00C819BA"/>
    <w:rsid w:val="00C84B30"/>
    <w:rsid w:val="00C90AE8"/>
    <w:rsid w:val="00CB2DD4"/>
    <w:rsid w:val="00CD4DC2"/>
    <w:rsid w:val="00D02738"/>
    <w:rsid w:val="00D156A9"/>
    <w:rsid w:val="00D250D0"/>
    <w:rsid w:val="00D27529"/>
    <w:rsid w:val="00D57A7B"/>
    <w:rsid w:val="00D950DE"/>
    <w:rsid w:val="00DE58A0"/>
    <w:rsid w:val="00E11AFA"/>
    <w:rsid w:val="00E16DA1"/>
    <w:rsid w:val="00E303A4"/>
    <w:rsid w:val="00E31689"/>
    <w:rsid w:val="00E65401"/>
    <w:rsid w:val="00E7180A"/>
    <w:rsid w:val="00EA16E7"/>
    <w:rsid w:val="00EB4A2E"/>
    <w:rsid w:val="00ED2B82"/>
    <w:rsid w:val="00EE28E9"/>
    <w:rsid w:val="00EE3770"/>
    <w:rsid w:val="00EE6BC6"/>
    <w:rsid w:val="00F061C0"/>
    <w:rsid w:val="00F52C92"/>
    <w:rsid w:val="00F65CA5"/>
    <w:rsid w:val="00FC6434"/>
    <w:rsid w:val="00FD5C38"/>
    <w:rsid w:val="00FD6E1D"/>
    <w:rsid w:val="00FF2858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D21EC8"/>
  <w15:docId w15:val="{4DF3BBA7-E87A-4E68-8D46-F6D2226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0A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05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A050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8A050A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A050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050A"/>
    <w:pPr>
      <w:ind w:left="720"/>
      <w:contextualSpacing/>
    </w:pPr>
    <w:rPr>
      <w:rFonts w:ascii="Calibri" w:eastAsia="Calibri" w:hAnsi="Calibri"/>
      <w:szCs w:val="24"/>
    </w:rPr>
  </w:style>
  <w:style w:type="character" w:styleId="CommentReference">
    <w:name w:val="annotation reference"/>
    <w:uiPriority w:val="99"/>
    <w:semiHidden/>
    <w:unhideWhenUsed/>
    <w:rsid w:val="00FD6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1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D6E1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6E1D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E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7798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4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7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SurveyCertEmergPrep/Emergency-Prep-Ru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GEmergencyPrep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3630</CharactersWithSpaces>
  <SharedDoc>false</SharedDoc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\\CO-ADSHARE\SHARE\SHARE\OA\CMSO\SCG\CORRESPONDENCE GUIDANCE\CMS Correspondence Manual 2007</vt:lpwstr>
      </vt:variant>
      <vt:variant>
        <vt:lpwstr/>
      </vt:variant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http://www.plainlanguage.gov/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Boyd</dc:creator>
  <cp:lastModifiedBy>Caecilia Blondiaux</cp:lastModifiedBy>
  <cp:revision>5</cp:revision>
  <cp:lastPrinted>2017-05-03T11:31:00Z</cp:lastPrinted>
  <dcterms:created xsi:type="dcterms:W3CDTF">2017-06-02T14:13:00Z</dcterms:created>
  <dcterms:modified xsi:type="dcterms:W3CDTF">2017-06-02T14:26:00Z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